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right"/>
      </w:pPr>
      <w:r>
        <w:rPr>
          <w:rFonts w:ascii="Times New Roman" w:hAnsi="Times New Roman"/>
          <w:b w:val="0"/>
          <w:i w:val="0"/>
        </w:rPr>
        <w:t>ЗАТВЕРДЖЕНО</w:t>
      </w:r>
    </w:p>
    <w:p>
      <w:pPr>
        <w:spacing w:after="0" w:before="0"/>
        <w:jc w:val="right"/>
      </w:pPr>
      <w:r>
        <w:rPr>
          <w:rFonts w:ascii="Times New Roman" w:hAnsi="Times New Roman"/>
          <w:b w:val="0"/>
          <w:i w:val="0"/>
        </w:rPr>
        <w:t>Наказ В.о. ректора</w:t>
      </w:r>
    </w:p>
    <w:p>
      <w:pPr>
        <w:spacing w:after="0" w:before="0"/>
        <w:jc w:val="right"/>
      </w:pPr>
      <w:r>
        <w:rPr>
          <w:rFonts w:ascii="Times New Roman" w:hAnsi="Times New Roman"/>
          <w:b w:val="0"/>
          <w:i w:val="0"/>
        </w:rPr>
        <w:t>ПВНЗ «МАСБА»</w:t>
      </w:r>
    </w:p>
    <w:p>
      <w:pPr>
        <w:spacing w:after="360" w:before="0"/>
        <w:jc w:val="right"/>
      </w:pPr>
      <w:r>
        <w:rPr>
          <w:rFonts w:ascii="Times New Roman" w:hAnsi="Times New Roman"/>
          <w:b w:val="0"/>
          <w:i w:val="0"/>
        </w:rPr>
        <w:t>від 07 вересня 2026 р. № ____</w:t>
      </w:r>
    </w:p>
    <w:p>
      <w:pPr>
        <w:spacing w:after="0" w:before="0"/>
        <w:jc w:val="center"/>
      </w:pPr>
      <w:r>
        <w:rPr>
          <w:rFonts w:ascii="Times New Roman" w:hAnsi="Times New Roman"/>
          <w:b/>
          <w:i w:val="0"/>
        </w:rPr>
        <w:t>ПВНЗ «МАСБА»</w:t>
      </w:r>
    </w:p>
    <w:p>
      <w:pPr>
        <w:spacing w:after="320" w:before="0"/>
        <w:jc w:val="center"/>
      </w:pPr>
      <w:r>
        <w:rPr>
          <w:rFonts w:ascii="Times New Roman" w:hAnsi="Times New Roman"/>
          <w:b w:val="0"/>
          <w:i w:val="0"/>
        </w:rPr>
        <w:t>Код за ЄДРПОУ 41319584</w:t>
      </w:r>
    </w:p>
    <w:p>
      <w:pPr>
        <w:spacing w:after="0" w:before="0"/>
        <w:jc w:val="center"/>
      </w:pPr>
      <w:r>
        <w:rPr>
          <w:rFonts w:ascii="Times New Roman" w:hAnsi="Times New Roman"/>
          <w:b/>
          <w:i w:val="0"/>
          <w:sz w:val="28"/>
        </w:rPr>
        <w:t>ПРОГРАМА ОСВІТНЬОГО ЗАХОДУ</w:t>
      </w:r>
    </w:p>
    <w:p>
      <w:pPr>
        <w:spacing w:after="200" w:before="0"/>
        <w:jc w:val="center"/>
      </w:pPr>
      <w:r>
        <w:rPr>
          <w:rFonts w:ascii="Times New Roman" w:hAnsi="Times New Roman"/>
          <w:b/>
          <w:i w:val="0"/>
          <w:sz w:val="28"/>
        </w:rPr>
        <w:t>З БЕЗПЕРЕРВНОГО ПРОФЕСІЙНОГО НАВЧАННЯ АУДИТОРІВ</w:t>
      </w:r>
    </w:p>
    <w:p>
      <w:pPr>
        <w:spacing w:after="280" w:before="0"/>
        <w:jc w:val="center"/>
      </w:pPr>
      <w:r>
        <w:rPr>
          <w:rFonts w:ascii="Times New Roman" w:hAnsi="Times New Roman"/>
          <w:b w:val="0"/>
          <w:i w:val="0"/>
        </w:rPr>
        <w:t>Напрям: Управлінський облік</w:t>
      </w:r>
    </w:p>
    <w:p>
      <w:pPr>
        <w:spacing w:after="320" w:before="0"/>
        <w:jc w:val="center"/>
      </w:pPr>
      <w:r>
        <w:rPr>
          <w:rFonts w:ascii="Times New Roman" w:hAnsi="Times New Roman"/>
          <w:b/>
          <w:i w:val="0"/>
          <w:sz w:val="28"/>
        </w:rPr>
        <w:t>«УПРАВЛІНСЬКИЙ ОБЛІК В ДЕТАЛЯХ»</w:t>
      </w:r>
    </w:p>
    <w:p>
      <w:pPr>
        <w:spacing w:after="360" w:before="0"/>
        <w:jc w:val="center"/>
      </w:pPr>
      <w:r>
        <w:rPr>
          <w:rFonts w:ascii="Times New Roman" w:hAnsi="Times New Roman"/>
          <w:b w:val="0"/>
          <w:i w:val="0"/>
        </w:rPr>
        <w:t>Київ, 2026</w:t>
      </w:r>
    </w:p>
    <w:p>
      <w:pPr>
        <w:spacing w:after="120" w:before="0"/>
        <w:jc w:val="center"/>
      </w:pPr>
      <w:r>
        <w:rPr>
          <w:rFonts w:ascii="Times New Roman" w:hAnsi="Times New Roman"/>
          <w:b/>
          <w:i w:val="0"/>
        </w:rPr>
        <w:t>Авторський склад</w:t>
      </w:r>
    </w:p>
    <w:p>
      <w:pPr>
        <w:spacing w:after="80" w:before="0"/>
        <w:jc w:val="center"/>
      </w:pPr>
      <w:r>
        <w:rPr>
          <w:rFonts w:ascii="Times New Roman" w:hAnsi="Times New Roman"/>
          <w:b/>
          <w:i w:val="0"/>
        </w:rPr>
        <w:t>Давидюк Тетяна Вікторівна</w:t>
      </w:r>
    </w:p>
    <w:p>
      <w:pPr>
        <w:spacing w:after="320" w:before="0"/>
        <w:jc w:val="center"/>
      </w:pPr>
      <w:r>
        <w:rPr>
          <w:rFonts w:ascii="Times New Roman" w:hAnsi="Times New Roman"/>
          <w:b w:val="0"/>
          <w:i w:val="0"/>
        </w:rPr>
        <w:t>Професор кафедри обліку і фінансів НТУ «Харківський політехнічний інститут», експерт з питань управлінського обліку та бюджетування, доктор економічних наук, професор, ICFM DipFM, ICFM DipCA, включений до реєстру аудитор.</w:t>
      </w:r>
    </w:p>
    <w:p>
      <w:pPr>
        <w:spacing w:after="160" w:before="240"/>
        <w:jc w:val="left"/>
      </w:pPr>
      <w:r>
        <w:rPr>
          <w:rFonts w:ascii="Times New Roman" w:hAnsi="Times New Roman"/>
          <w:b/>
          <w:i w:val="0"/>
        </w:rPr>
        <w:t>ВСТУП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Управлінський облік є упорядкованою системою виявлення, вимірювання, збору, реєстрації, інтерпретації, узагальнення, підготовки та надання управлінській ланці організації (внутрішнім користувачам, керівникам) інформації та показників, важливих для прийняття рішень щодо діяльності організації.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Основним завданням управлінського обліку є відповідь на питання, в якому стані знаходиться організація та як необхідно розподілити наявні ресурси, щоб підвищити ефективність діяльності.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Побудова управлінського обліку багато в чому залежить від потреб власника та керівництва, тому бачення управлінського обліку у кожної компанії є різним.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Предметом програми є актуальні питання побудови та функціонування управлінського обліку компаній.</w:t>
      </w:r>
    </w:p>
    <w:p>
      <w:pPr>
        <w:spacing w:after="160" w:before="240"/>
        <w:jc w:val="left"/>
      </w:pPr>
      <w:r>
        <w:rPr>
          <w:rFonts w:ascii="Times New Roman" w:hAnsi="Times New Roman"/>
          <w:b/>
          <w:i w:val="0"/>
        </w:rPr>
        <w:t>1. МЕТА ОСВІТНЬОГО ЗАХОДУ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Метою освітнього заходу з безперервного професійного навчання аудиторів є підвищення професійного рівня та набуття аудиторами нових професійних компетентностей щодо побудови управлінського обліку компаній.</w:t>
      </w:r>
    </w:p>
    <w:p>
      <w:pPr>
        <w:spacing w:after="120" w:before="160"/>
        <w:jc w:val="left"/>
      </w:pPr>
      <w:r>
        <w:rPr>
          <w:rFonts w:ascii="Times New Roman" w:hAnsi="Times New Roman"/>
          <w:b/>
          <w:i w:val="0"/>
        </w:rPr>
        <w:t>Основні завдання заходу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Систематизувати класифікацію витрат у фінансовому та управлінському обліку.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Розкрити склад накладних витрат та порядок їх розподілу.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Опрацювати методи обліку витрат, їх особливості, переваги та обмеження.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Відпрацювати калькулювання собівартості та оцінку впливу методів калькулювання на фінансовий результат.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Сформувати практичний навик проведення CVP-аналізу та управління фінансовими результатами.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Розкрити роль релевантних витрат у прийнятті управлінських рішень.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Опрацювати контроль виконання бюджетів та аналіз відхилень, орієнтований на подальші управлінські рішення.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Ознайомити з нефінансовими показниками діяльності компаній у системі управлінського контролю.</w:t>
      </w:r>
    </w:p>
    <w:p>
      <w:pPr>
        <w:spacing w:after="160" w:before="240"/>
        <w:jc w:val="left"/>
      </w:pPr>
      <w:r>
        <w:rPr>
          <w:rFonts w:ascii="Times New Roman" w:hAnsi="Times New Roman"/>
          <w:b/>
          <w:i w:val="0"/>
        </w:rPr>
        <w:t>2. ОЧІКУВАНІ РЕЗУЛЬТАТИ НАВЧАННЯ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Аудитори після опанування теми програми освітнього заходу повинні знати: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класифікацію витрат у фінансовому та управлінському обліку;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склад та порядок розподілу накладних витрат;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порядок застосування методів обліку витрат, їх особливості та переваги;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порядок проведення CVP-аналізу;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порядок здійснення контролю виконання бюджетів та проведення аналізу відхилень;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порядок визначення нефінансових показників діяльності компанії.</w:t>
      </w:r>
    </w:p>
    <w:p>
      <w:pPr>
        <w:spacing w:after="120" w:before="160"/>
        <w:ind w:firstLine="709"/>
        <w:jc w:val="both"/>
      </w:pPr>
      <w:r>
        <w:rPr>
          <w:rFonts w:ascii="Times New Roman" w:hAnsi="Times New Roman"/>
          <w:b w:val="0"/>
          <w:i w:val="0"/>
        </w:rPr>
        <w:t>Аудитори після опанування теми програми освітнього заходу повинні вміти: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формувати та розподіляти витрати в управлінському обліку;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застосовувати різні методи обліку витрат, визначати їх недоліки та переваги;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проводити калькулювання собівартості, оцінювати вплив методів калькулювання на фінансовий результат;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проводити CVP-аналіз;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формувати звіт про прибуток підприємства;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робити аналіз відхилень, орієнтований на наступні управлінські рішення.</w:t>
      </w:r>
    </w:p>
    <w:p>
      <w:pPr>
        <w:spacing w:after="160" w:before="240"/>
        <w:jc w:val="left"/>
      </w:pPr>
      <w:r>
        <w:rPr>
          <w:rFonts w:ascii="Times New Roman" w:hAnsi="Times New Roman"/>
          <w:b/>
          <w:i w:val="0"/>
        </w:rPr>
        <w:t>3. ЗМІСТ (ТЕМАТИЧНИЙ ПЛАН ОСВІТНЬОГО ЗАХОДУ З БЕЗПЕРЕРВНОГО ПРОФЕСІЙНОГО НАВЧАННЯ)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6576"/>
        <w:gridCol w:w="1701"/>
      </w:tblGrid>
      <w:tr>
        <w:trPr>
          <w:tblHeader w:val="true"/>
        </w:trPr>
        <w:tc>
          <w:tcPr>
            <w:tcW w:type="dxa" w:w="136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№ з/п</w:t>
            </w:r>
          </w:p>
        </w:tc>
        <w:tc>
          <w:tcPr>
            <w:tcW w:type="dxa" w:w="6576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Тематика програми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Обсяг (кількість академічних годин*)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Модуль 1</w:t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Класифікація витрат у фінансовому та управлінському обліку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1,5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Модуль 2</w:t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Накладні витрати: секрети ефективного розподілу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1,5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Модуль 3</w:t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Маржинальний метод обліку витрат та метод повного поглинання витрат: вплив на оцінку запасів та розрахунок прибутку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1,5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Модуль 4</w:t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Управління фінансовими результатами на основі CVP-аналізу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1,5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Модуль 5</w:t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Роль релевантних витрат у прийнятті рішень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1,5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Модуль 6</w:t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Контроль виконання бюджетів. Аналіз відхилень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1,5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Модуль 7</w:t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Управлінський контроль: нефінансові показники діяльності компаній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sz w:val="22"/>
              </w:rPr>
            </w:r>
            <w:r>
              <w:rPr>
                <w:rFonts w:ascii="Times New Roman" w:hAnsi="Times New Roman"/>
                <w:sz w:val="22"/>
              </w:rPr>
              <w:t>1,0</w:t>
            </w:r>
          </w:p>
        </w:tc>
      </w:tr>
      <w:tr>
        <w:tc>
          <w:tcPr>
            <w:tcW w:type="dxa" w:w="136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</w:r>
          </w:p>
        </w:tc>
        <w:tc>
          <w:tcPr>
            <w:tcW w:type="dxa" w:w="6576"/>
          </w:tcPr>
          <w:p>
            <w:pPr>
              <w:spacing w:after="40" w:before="40"/>
              <w:jc w:val="left"/>
            </w:pPr>
            <w:r>
              <w:rPr>
                <w:rFonts w:ascii="Times New Roman" w:hAnsi="Times New Roman"/>
                <w:b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Загальний обсяг</w:t>
            </w:r>
          </w:p>
        </w:tc>
        <w:tc>
          <w:tcPr>
            <w:tcW w:type="dxa" w:w="1701"/>
          </w:tcPr>
          <w:p>
            <w:pPr>
              <w:spacing w:after="40" w:before="40"/>
              <w:jc w:val="center"/>
            </w:pPr>
            <w:r>
              <w:rPr>
                <w:rFonts w:ascii="Times New Roman" w:hAnsi="Times New Roman"/>
                <w:b/>
                <w:sz w:val="22"/>
              </w:rPr>
            </w:r>
            <w:r>
              <w:rPr>
                <w:rFonts w:ascii="Times New Roman" w:hAnsi="Times New Roman"/>
                <w:b/>
                <w:sz w:val="22"/>
              </w:rPr>
              <w:t>10,0</w:t>
            </w:r>
          </w:p>
        </w:tc>
      </w:tr>
    </w:tbl>
    <w:p>
      <w:pPr>
        <w:spacing w:after="120" w:before="120"/>
        <w:ind w:firstLine="709"/>
        <w:jc w:val="both"/>
      </w:pPr>
      <w:r>
        <w:rPr>
          <w:rFonts w:ascii="Times New Roman" w:hAnsi="Times New Roman"/>
          <w:b w:val="0"/>
          <w:i w:val="0"/>
          <w:sz w:val="22"/>
        </w:rPr>
        <w:t>* 1 академічна година = 45 хвилин.</w:t>
      </w:r>
    </w:p>
    <w:p>
      <w:pPr>
        <w:spacing w:after="160" w:before="240"/>
        <w:jc w:val="left"/>
      </w:pPr>
      <w:r>
        <w:rPr>
          <w:rFonts w:ascii="Times New Roman" w:hAnsi="Times New Roman"/>
          <w:b/>
          <w:i w:val="0"/>
        </w:rPr>
        <w:t>4. ФОРМИ ТА МІСЦЕ ПРОВЕДЕННЯ БЕЗПЕРЕРВНОГО ПРОФЕСІЙНОГО НАВЧАННЯ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Безперервне професійне навчання аудиторів може здійснюватися в різних форматах: очному (в аудиторіях), дистанційному (онлайн) та гібридному (змішаному).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Очне навчання передбачає фізичну присутність учасників у навчальному центрі або приміщенні клієнта (корпоративний формат). Забезпечує безпосередню взаємодію, живі дискусії та сесії запитань і відповідей.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Дистанційне (онлайн) навчання проводиться у двох режимах: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Синхронне навчання: вебінари в реальному часі (Microsoft Teams, Zoom, MyOwnConference, Etutorium, BIZON 365 тощо), учасники взаємодіють з лектором та задають питання онлайн.</w:t>
      </w:r>
    </w:p>
    <w:p>
      <w:pPr>
        <w:spacing w:after="60"/>
        <w:ind w:left="425" w:hanging="198"/>
        <w:jc w:val="both"/>
      </w:pPr>
      <w:r>
        <w:rPr>
          <w:rFonts w:ascii="Times New Roman" w:hAnsi="Times New Roman"/>
        </w:rPr>
        <w:t>•  Асинхронне навчання передбачає доступ до записів та матеріалів, учасники навчаються у власному темпі на платформі Moodle або аналогічних.</w:t>
      </w:r>
    </w:p>
    <w:p>
      <w:pPr>
        <w:spacing w:after="120" w:before="120"/>
        <w:ind w:firstLine="709"/>
        <w:jc w:val="both"/>
      </w:pPr>
      <w:r>
        <w:rPr>
          <w:rFonts w:ascii="Times New Roman" w:hAnsi="Times New Roman"/>
          <w:b w:val="0"/>
          <w:i w:val="0"/>
        </w:rPr>
        <w:t>Гібридне навчання поєднує очні та онлайн-компоненти, забезпечуючи гнучкість без втрати якості.</w:t>
      </w:r>
    </w:p>
    <w:p>
      <w:pPr>
        <w:spacing w:after="120" w:before="0"/>
        <w:ind w:firstLine="709"/>
        <w:jc w:val="both"/>
      </w:pPr>
      <w:r>
        <w:rPr>
          <w:rFonts w:ascii="Times New Roman" w:hAnsi="Times New Roman"/>
          <w:b w:val="0"/>
          <w:i w:val="0"/>
        </w:rPr>
        <w:t>Очне навчання за цією програмою проводиться в аудиторному форматі за адресами: м. Київ, пров. Магнітогорський, буд. 3; м. Київ, вул. Загородня, 15, або на території замовника у разі проведення заходу в корпоративному форматі. Загальний обсяг заходу становить 10 академічних годин незалежно від обраної форми проведення.</w:t>
      </w:r>
    </w:p>
    <w:p>
      <w:pPr>
        <w:spacing w:after="160" w:before="240"/>
        <w:jc w:val="left"/>
      </w:pPr>
      <w:r>
        <w:rPr>
          <w:rFonts w:ascii="Times New Roman" w:hAnsi="Times New Roman"/>
          <w:b/>
          <w:i w:val="0"/>
        </w:rPr>
        <w:t>РЕКОМЕНДОВАНА ЛІТЕРАТУРА ТА МЕТОДИЧНЕ ЗАБЕЗПЕЧЕННЯ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1. Закон України «Про бухгалтерський облік та фінансову звітність в Україні» від 16.07.1999 № 996-XIV [Електронний ресурс] / Верховна Рада України. Режим доступу: https://zakon.rada.gov.ua/laws/show/996-14 (дата звернення: 05.09.2026). Назва з екрана.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2. Міжнародні стандарти фінансової звітності [Електронний ресурс] / Міністерство фінансів України. Режим доступу: https://mof.gov.ua/uk/mizhnarodni-standarti-finansovoi-zvitnosti (дата звернення: 05.09.2026). Назва з екрана.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3. Національні положення (стандарти) бухгалтерського обліку [Електронний ресурс] / Міністерство фінансів України. Режим доступу: https://mof.gov.ua/uk/nacionalni-polozhennja (дата звернення: 05.09.2026). Назва з екрана.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4. Карпенко О. В., Карпенко Д. В. Управлінський облік: навч. посіб. Київ: Центр учбової літератури, 2012. 296 с.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5. Садовська І. Б., Божидарнік Т. В., Нагірська К. Є. Бухгалтерський облік: навч. посіб. Київ: Центр учбової літератури, 2013. 688 с.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6. Брадул О. М., Шепелюк В. А., Шевченко Л. Я., Камінський П. Д. та ін. Управлінський облік: навч. посіб. Кривий Ріг: ДонНУЕТ, 2017. 113 с.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7. Пашкевич М. С., Дріга О. П., Макурін А. А. Управлінський облік: навч. посіб. Дніпро: НТУ «Дніпровська політехніка», 2018. 151 с.</w:t>
      </w:r>
    </w:p>
    <w:p>
      <w:pPr>
        <w:spacing w:after="80"/>
        <w:ind w:left="567" w:hanging="340"/>
        <w:jc w:val="both"/>
      </w:pPr>
      <w:r>
        <w:rPr>
          <w:rFonts w:ascii="Times New Roman" w:hAnsi="Times New Roman"/>
          <w:sz w:val="22"/>
        </w:rPr>
        <w:t>8. Давидюк Т. В. Роздатковий матеріал до програми «Управлінський облік в деталях» // ПВНЗ «МАСБА», 2026.</w:t>
      </w:r>
    </w:p>
    <w:sectPr w:rsidR="00FC693F" w:rsidRPr="0006063C" w:rsidSect="00034616"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