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jc w:val="right"/>
      </w:pPr>
      <w:r>
        <w:rPr>
          <w:rFonts w:ascii="Times New Roman" w:hAnsi="Times New Roman"/>
          <w:b w:val="0"/>
          <w:i w:val="0"/>
        </w:rPr>
        <w:t>ЗАТВЕРДЖЕНО</w:t>
      </w:r>
    </w:p>
    <w:p>
      <w:pPr>
        <w:spacing w:after="0" w:before="0"/>
        <w:jc w:val="right"/>
      </w:pPr>
      <w:r>
        <w:rPr>
          <w:rFonts w:ascii="Times New Roman" w:hAnsi="Times New Roman"/>
          <w:b w:val="0"/>
          <w:i w:val="0"/>
        </w:rPr>
        <w:t>Наказ В.о. ректора</w:t>
      </w:r>
    </w:p>
    <w:p>
      <w:pPr>
        <w:spacing w:after="0" w:before="0"/>
        <w:jc w:val="right"/>
      </w:pPr>
      <w:r>
        <w:rPr>
          <w:rFonts w:ascii="Times New Roman" w:hAnsi="Times New Roman"/>
          <w:b w:val="0"/>
          <w:i w:val="0"/>
        </w:rPr>
        <w:t>ПВНЗ «МАСБА»</w:t>
      </w:r>
    </w:p>
    <w:p>
      <w:pPr>
        <w:spacing w:after="360" w:before="0"/>
        <w:jc w:val="right"/>
      </w:pPr>
      <w:r>
        <w:rPr>
          <w:rFonts w:ascii="Times New Roman" w:hAnsi="Times New Roman"/>
          <w:b w:val="0"/>
          <w:i w:val="0"/>
        </w:rPr>
        <w:t>від 07 вересня 2026 р. № ____</w:t>
      </w:r>
    </w:p>
    <w:p>
      <w:pPr>
        <w:spacing w:after="0" w:before="0"/>
        <w:jc w:val="center"/>
      </w:pPr>
      <w:r>
        <w:rPr>
          <w:rFonts w:ascii="Times New Roman" w:hAnsi="Times New Roman"/>
          <w:b/>
          <w:i w:val="0"/>
        </w:rPr>
        <w:t>ПВНЗ «МАСБА»</w:t>
      </w:r>
    </w:p>
    <w:p>
      <w:pPr>
        <w:spacing w:after="320" w:before="0"/>
        <w:jc w:val="center"/>
      </w:pPr>
      <w:r>
        <w:rPr>
          <w:rFonts w:ascii="Times New Roman" w:hAnsi="Times New Roman"/>
          <w:b w:val="0"/>
          <w:i w:val="0"/>
        </w:rPr>
        <w:t>Код за ЄДРПОУ 41319584</w:t>
      </w:r>
    </w:p>
    <w:p>
      <w:pPr>
        <w:spacing w:after="0" w:before="0"/>
        <w:jc w:val="center"/>
      </w:pPr>
      <w:r>
        <w:rPr>
          <w:rFonts w:ascii="Times New Roman" w:hAnsi="Times New Roman"/>
          <w:b/>
          <w:i w:val="0"/>
          <w:sz w:val="28"/>
        </w:rPr>
        <w:t>ПРОГРАМА ОСВІТНЬОГО ЗАХОДУ</w:t>
      </w:r>
    </w:p>
    <w:p>
      <w:pPr>
        <w:spacing w:after="200" w:before="0"/>
        <w:jc w:val="center"/>
      </w:pPr>
      <w:r>
        <w:rPr>
          <w:rFonts w:ascii="Times New Roman" w:hAnsi="Times New Roman"/>
          <w:b/>
          <w:i w:val="0"/>
          <w:sz w:val="28"/>
        </w:rPr>
        <w:t>З БЕЗПЕРЕРВНОГО ПРОФЕСІЙНОГО НАВЧАННЯ АУДИТОРІВ</w:t>
      </w:r>
    </w:p>
    <w:p>
      <w:pPr>
        <w:spacing w:after="280" w:before="0"/>
        <w:jc w:val="center"/>
      </w:pPr>
      <w:r>
        <w:rPr>
          <w:rFonts w:ascii="Times New Roman" w:hAnsi="Times New Roman"/>
          <w:b w:val="0"/>
          <w:i w:val="0"/>
        </w:rPr>
        <w:t>Напрям: Міжнародні стандарти аудиту; управління ризиками та внутрішній контроль</w:t>
      </w:r>
    </w:p>
    <w:p>
      <w:pPr>
        <w:spacing w:after="320" w:before="0"/>
        <w:jc w:val="center"/>
      </w:pPr>
      <w:r>
        <w:rPr>
          <w:rFonts w:ascii="Times New Roman" w:hAnsi="Times New Roman"/>
          <w:b/>
          <w:i w:val="0"/>
          <w:sz w:val="28"/>
        </w:rPr>
        <w:t>«РОЗРОБКА ТА ВПРОВАДЖЕННЯ СИСТЕМИ УПРАВЛІННЯ ЯКІСТЮ ФІРМИ ДЛЯ ПРОВЕДЕННЯ АУДИТІВ»</w:t>
      </w:r>
    </w:p>
    <w:p>
      <w:pPr>
        <w:spacing w:after="360" w:before="0"/>
        <w:jc w:val="center"/>
      </w:pPr>
      <w:r>
        <w:rPr>
          <w:rFonts w:ascii="Times New Roman" w:hAnsi="Times New Roman"/>
          <w:b w:val="0"/>
          <w:i w:val="0"/>
        </w:rPr>
        <w:t>Київ, 2026</w:t>
      </w:r>
    </w:p>
    <w:p>
      <w:pPr>
        <w:spacing w:after="120" w:before="0"/>
        <w:jc w:val="center"/>
      </w:pPr>
      <w:r>
        <w:rPr>
          <w:rFonts w:ascii="Times New Roman" w:hAnsi="Times New Roman"/>
          <w:b/>
          <w:i w:val="0"/>
        </w:rPr>
        <w:t>Авторський склад</w:t>
      </w:r>
    </w:p>
    <w:p>
      <w:pPr>
        <w:spacing w:after="80" w:before="0"/>
        <w:jc w:val="center"/>
      </w:pPr>
      <w:r>
        <w:rPr>
          <w:rFonts w:ascii="Times New Roman" w:hAnsi="Times New Roman"/>
          <w:b/>
          <w:i w:val="0"/>
        </w:rPr>
        <w:t>Кузуб Олександр Анатолійович</w:t>
      </w:r>
    </w:p>
    <w:p>
      <w:pPr>
        <w:spacing w:after="320" w:before="0"/>
        <w:jc w:val="center"/>
      </w:pPr>
      <w:r>
        <w:rPr>
          <w:rFonts w:ascii="Times New Roman" w:hAnsi="Times New Roman"/>
          <w:b w:val="0"/>
          <w:i w:val="0"/>
        </w:rPr>
        <w:t>Директор ТОВ «АКФ «Аудит АСК», викладач ТОВ «Академія професійного розвитку ІСААР», президент Громадської спілки «Інститут сертифікованих професіоналів обліку і аудиту», кандидат фізико-математичних наук, ACCA DipIFR, включений до реєстру аудитор.</w:t>
      </w:r>
    </w:p>
    <w:p>
      <w:pPr>
        <w:spacing w:after="160" w:before="240"/>
        <w:jc w:val="left"/>
      </w:pPr>
      <w:r>
        <w:rPr>
          <w:rFonts w:ascii="Times New Roman" w:hAnsi="Times New Roman"/>
          <w:b/>
          <w:i w:val="0"/>
        </w:rPr>
        <w:t>ВСТУП</w:t>
      </w:r>
    </w:p>
    <w:p>
      <w:pPr>
        <w:spacing w:after="120" w:before="0"/>
        <w:ind w:firstLine="709"/>
        <w:jc w:val="both"/>
      </w:pPr>
      <w:r>
        <w:rPr>
          <w:rFonts w:ascii="Times New Roman" w:hAnsi="Times New Roman"/>
          <w:b w:val="0"/>
          <w:i w:val="0"/>
        </w:rPr>
        <w:t>Впровадження системи управління якістю в компаніях є необхідністю для забезпечення ефективності та конкурентоспроможності на ринку. Тому розробка та впровадження системи управління якістю для проведення аудитів стає ключовим завданням для підприємств, які прагнуть досягти високих стандартів якості та відповідності нормативним вимогам.</w:t>
      </w:r>
    </w:p>
    <w:p>
      <w:pPr>
        <w:spacing w:after="120" w:before="0"/>
        <w:ind w:firstLine="709"/>
        <w:jc w:val="both"/>
      </w:pPr>
      <w:r>
        <w:rPr>
          <w:rFonts w:ascii="Times New Roman" w:hAnsi="Times New Roman"/>
          <w:b w:val="0"/>
          <w:i w:val="0"/>
        </w:rPr>
        <w:t>Основними завданнями впровадження системи управління якістю є покращення внутрішньої ефективності, підвищення довіри клієнтів та партнерів, зменшення ризиків і контроль відповідності законодавству та стандартам.</w:t>
      </w:r>
    </w:p>
    <w:p>
      <w:pPr>
        <w:spacing w:after="120" w:before="0"/>
        <w:ind w:firstLine="709"/>
        <w:jc w:val="both"/>
      </w:pPr>
      <w:r>
        <w:rPr>
          <w:rFonts w:ascii="Times New Roman" w:hAnsi="Times New Roman"/>
          <w:b w:val="0"/>
          <w:i w:val="0"/>
        </w:rPr>
        <w:t>Предметом програми є сучасні тенденції у розробці, організації та впровадженні системи управління якістю в компанії.</w:t>
      </w:r>
    </w:p>
    <w:p>
      <w:pPr>
        <w:spacing w:after="160" w:before="240"/>
        <w:jc w:val="left"/>
      </w:pPr>
      <w:r>
        <w:rPr>
          <w:rFonts w:ascii="Times New Roman" w:hAnsi="Times New Roman"/>
          <w:b/>
          <w:i w:val="0"/>
        </w:rPr>
        <w:t>1. МЕТА ОСВІТНЬОГО ЗАХОДУ</w:t>
      </w:r>
    </w:p>
    <w:p>
      <w:pPr>
        <w:spacing w:after="120" w:before="0"/>
        <w:ind w:firstLine="709"/>
        <w:jc w:val="both"/>
      </w:pPr>
      <w:r>
        <w:rPr>
          <w:rFonts w:ascii="Times New Roman" w:hAnsi="Times New Roman"/>
          <w:b w:val="0"/>
          <w:i w:val="0"/>
        </w:rPr>
        <w:t>Метою освітнього заходу з безперервного професійного навчання аудиторів є підвищення професійного рівня та набуття практичних знань щодо впровадження ефективної системи управління якістю для проведення аудитів.</w:t>
      </w:r>
    </w:p>
    <w:p>
      <w:pPr>
        <w:spacing w:after="120" w:before="160"/>
        <w:jc w:val="left"/>
      </w:pPr>
      <w:r>
        <w:rPr>
          <w:rFonts w:ascii="Times New Roman" w:hAnsi="Times New Roman"/>
          <w:b/>
          <w:i w:val="0"/>
        </w:rPr>
        <w:t>Основні завдання заходу</w:t>
      </w:r>
    </w:p>
    <w:p>
      <w:pPr>
        <w:spacing w:after="60"/>
        <w:ind w:left="425" w:hanging="198"/>
        <w:jc w:val="both"/>
      </w:pPr>
      <w:r>
        <w:rPr>
          <w:rFonts w:ascii="Times New Roman" w:hAnsi="Times New Roman"/>
        </w:rPr>
        <w:t>•  Розкрити сферу застосування МСУЯ 1 та його взаємопов’язаність з МСУЯ 2 і МСА 220 (переглянутим).</w:t>
      </w:r>
    </w:p>
    <w:p>
      <w:pPr>
        <w:spacing w:after="60"/>
        <w:ind w:left="425" w:hanging="198"/>
        <w:jc w:val="both"/>
      </w:pPr>
      <w:r>
        <w:rPr>
          <w:rFonts w:ascii="Times New Roman" w:hAnsi="Times New Roman"/>
        </w:rPr>
        <w:t>•  Систематизувати відповідальність фірми, партнерів із завдання та інших членів команди із завдання щодо управління якістю.</w:t>
      </w:r>
    </w:p>
    <w:p>
      <w:pPr>
        <w:spacing w:after="60"/>
        <w:ind w:left="425" w:hanging="198"/>
        <w:jc w:val="both"/>
      </w:pPr>
      <w:r>
        <w:rPr>
          <w:rFonts w:ascii="Times New Roman" w:hAnsi="Times New Roman"/>
        </w:rPr>
        <w:t>•  Опрацювати ключові вимоги до розробки, впровадження та функціонування системи управління якістю фірми.</w:t>
      </w:r>
    </w:p>
    <w:p>
      <w:pPr>
        <w:spacing w:after="60"/>
        <w:ind w:left="425" w:hanging="198"/>
        <w:jc w:val="both"/>
      </w:pPr>
      <w:r>
        <w:rPr>
          <w:rFonts w:ascii="Times New Roman" w:hAnsi="Times New Roman"/>
        </w:rPr>
        <w:t>•  Відпрацювати процес оцінки ризиків якості: ідентифікацію, оцінювання та розробку дій у відповідь.</w:t>
      </w:r>
    </w:p>
    <w:p>
      <w:pPr>
        <w:spacing w:after="60"/>
        <w:ind w:left="425" w:hanging="198"/>
        <w:jc w:val="both"/>
      </w:pPr>
      <w:r>
        <w:rPr>
          <w:rFonts w:ascii="Times New Roman" w:hAnsi="Times New Roman"/>
        </w:rPr>
        <w:t>•  Розкрити порядок встановлення цілей якості за компонентами системи управління якістю.</w:t>
      </w:r>
    </w:p>
    <w:p>
      <w:pPr>
        <w:spacing w:after="60"/>
        <w:ind w:left="425" w:hanging="198"/>
        <w:jc w:val="both"/>
      </w:pPr>
      <w:r>
        <w:rPr>
          <w:rFonts w:ascii="Times New Roman" w:hAnsi="Times New Roman"/>
        </w:rPr>
        <w:t>•  Опрацювати порядок проведення перевірок якості завдання відповідно до МСУЯ 2.</w:t>
      </w:r>
    </w:p>
    <w:p>
      <w:pPr>
        <w:spacing w:after="60"/>
        <w:ind w:left="425" w:hanging="198"/>
        <w:jc w:val="both"/>
      </w:pPr>
      <w:r>
        <w:rPr>
          <w:rFonts w:ascii="Times New Roman" w:hAnsi="Times New Roman"/>
        </w:rPr>
        <w:t>•  Сформувати практичний навик проведення моніторингу, оцінки системи управління якістю та документування.</w:t>
      </w:r>
    </w:p>
    <w:p>
      <w:pPr>
        <w:spacing w:after="160" w:before="240"/>
        <w:jc w:val="left"/>
      </w:pPr>
      <w:r>
        <w:rPr>
          <w:rFonts w:ascii="Times New Roman" w:hAnsi="Times New Roman"/>
          <w:b/>
          <w:i w:val="0"/>
        </w:rPr>
        <w:t>2. ОЧІКУВАНІ РЕЗУЛЬТАТИ НАВЧАННЯ</w:t>
      </w:r>
    </w:p>
    <w:p>
      <w:pPr>
        <w:spacing w:after="120" w:before="0"/>
        <w:ind w:firstLine="709"/>
        <w:jc w:val="both"/>
      </w:pPr>
      <w:r>
        <w:rPr>
          <w:rFonts w:ascii="Times New Roman" w:hAnsi="Times New Roman"/>
          <w:b w:val="0"/>
          <w:i w:val="0"/>
        </w:rPr>
        <w:t>Аудитори після опанування теми програми освітнього заходу повинні знати:</w:t>
      </w:r>
    </w:p>
    <w:p>
      <w:pPr>
        <w:spacing w:after="60"/>
        <w:ind w:left="425" w:hanging="198"/>
        <w:jc w:val="both"/>
      </w:pPr>
      <w:r>
        <w:rPr>
          <w:rFonts w:ascii="Times New Roman" w:hAnsi="Times New Roman"/>
        </w:rPr>
        <w:t>•  термінологію Міжнародного стандарту з управління якістю та порядок її правильного тлумачення;</w:t>
      </w:r>
    </w:p>
    <w:p>
      <w:pPr>
        <w:spacing w:after="60"/>
        <w:ind w:left="425" w:hanging="198"/>
        <w:jc w:val="both"/>
      </w:pPr>
      <w:r>
        <w:rPr>
          <w:rFonts w:ascii="Times New Roman" w:hAnsi="Times New Roman"/>
        </w:rPr>
        <w:t>•  сфери та способи застосування Міжнародного стандарту з управління якістю;</w:t>
      </w:r>
    </w:p>
    <w:p>
      <w:pPr>
        <w:spacing w:after="60"/>
        <w:ind w:left="425" w:hanging="198"/>
        <w:jc w:val="both"/>
      </w:pPr>
      <w:r>
        <w:rPr>
          <w:rFonts w:ascii="Times New Roman" w:hAnsi="Times New Roman"/>
        </w:rPr>
        <w:t>•  ключові вимоги та структуру системи управління якістю;</w:t>
      </w:r>
    </w:p>
    <w:p>
      <w:pPr>
        <w:spacing w:after="60"/>
        <w:ind w:left="425" w:hanging="198"/>
        <w:jc w:val="both"/>
      </w:pPr>
      <w:r>
        <w:rPr>
          <w:rFonts w:ascii="Times New Roman" w:hAnsi="Times New Roman"/>
        </w:rPr>
        <w:t>•  порядок взаємодії з клієнтами з урахуванням етичних цінностей, фінансових можливостей та цілей компанії;</w:t>
      </w:r>
    </w:p>
    <w:p>
      <w:pPr>
        <w:spacing w:after="60"/>
        <w:ind w:left="425" w:hanging="198"/>
        <w:jc w:val="both"/>
      </w:pPr>
      <w:r>
        <w:rPr>
          <w:rFonts w:ascii="Times New Roman" w:hAnsi="Times New Roman"/>
        </w:rPr>
        <w:t>•  вимоги до проведення перевірок згідно з МСУЯ.</w:t>
      </w:r>
    </w:p>
    <w:p>
      <w:pPr>
        <w:spacing w:after="120" w:before="160"/>
        <w:ind w:firstLine="709"/>
        <w:jc w:val="both"/>
      </w:pPr>
      <w:r>
        <w:rPr>
          <w:rFonts w:ascii="Times New Roman" w:hAnsi="Times New Roman"/>
          <w:b w:val="0"/>
          <w:i w:val="0"/>
        </w:rPr>
        <w:t>Аудитори після опанування теми програми освітнього заходу повинні вміти:</w:t>
      </w:r>
    </w:p>
    <w:p>
      <w:pPr>
        <w:spacing w:after="60"/>
        <w:ind w:left="425" w:hanging="198"/>
        <w:jc w:val="both"/>
      </w:pPr>
      <w:r>
        <w:rPr>
          <w:rFonts w:ascii="Times New Roman" w:hAnsi="Times New Roman"/>
        </w:rPr>
        <w:t>•  оцінювати ризики фірми та впроваджувати дії задля їх усунення;</w:t>
      </w:r>
    </w:p>
    <w:p>
      <w:pPr>
        <w:spacing w:after="60"/>
        <w:ind w:left="425" w:hanging="198"/>
        <w:jc w:val="both"/>
      </w:pPr>
      <w:r>
        <w:rPr>
          <w:rFonts w:ascii="Times New Roman" w:hAnsi="Times New Roman"/>
        </w:rPr>
        <w:t>•  планувати та встановлювати цілі, управляти якістю фірми;</w:t>
      </w:r>
    </w:p>
    <w:p>
      <w:pPr>
        <w:spacing w:after="60"/>
        <w:ind w:left="425" w:hanging="198"/>
        <w:jc w:val="both"/>
      </w:pPr>
      <w:r>
        <w:rPr>
          <w:rFonts w:ascii="Times New Roman" w:hAnsi="Times New Roman"/>
        </w:rPr>
        <w:t>•  організовувати роботу фірми, розподіляти її ресурси;</w:t>
      </w:r>
    </w:p>
    <w:p>
      <w:pPr>
        <w:spacing w:after="60"/>
        <w:ind w:left="425" w:hanging="198"/>
        <w:jc w:val="both"/>
      </w:pPr>
      <w:r>
        <w:rPr>
          <w:rFonts w:ascii="Times New Roman" w:hAnsi="Times New Roman"/>
        </w:rPr>
        <w:t>•  проводити заходи з моніторингу, інспектувати завдання та розробляти відповідну документацію;</w:t>
      </w:r>
    </w:p>
    <w:p>
      <w:pPr>
        <w:spacing w:after="60"/>
        <w:ind w:left="425" w:hanging="198"/>
        <w:jc w:val="both"/>
      </w:pPr>
      <w:r>
        <w:rPr>
          <w:rFonts w:ascii="Times New Roman" w:hAnsi="Times New Roman"/>
        </w:rPr>
        <w:t>•  виявляти недоліки в ході перевірки фірми та усувати їх.</w:t>
      </w:r>
    </w:p>
    <w:p>
      <w:pPr>
        <w:spacing w:after="160" w:before="240"/>
        <w:jc w:val="left"/>
      </w:pPr>
      <w:r>
        <w:rPr>
          <w:rFonts w:ascii="Times New Roman" w:hAnsi="Times New Roman"/>
          <w:b/>
          <w:i w:val="0"/>
        </w:rPr>
        <w:t>3. ЗМІСТ (ТЕМАТИЧНИЙ ПЛАН ОСВІТНЬОГО ЗАХОДУ З БЕЗПЕРЕРВНОГО ПРОФЕСІЙНОГО НАВЧАННЯ)</w:t>
      </w:r>
    </w:p>
    <w:tbl>
      <w:tblPr>
        <w:tblStyle w:val="TableGrid"/>
        <w:tblW w:type="auto" w:w="0"/>
        <w:tblLayout w:type="fixed"/>
        <w:tblLook w:firstColumn="1" w:firstRow="1" w:lastColumn="0" w:lastRow="0" w:noHBand="0" w:noVBand="1" w:val="04A0"/>
      </w:tblPr>
      <w:tblGrid>
        <w:gridCol w:w="907"/>
        <w:gridCol w:w="7313"/>
        <w:gridCol w:w="1417"/>
      </w:tblGrid>
      <w:tr>
        <w:trPr>
          <w:tblHeader w:val="true"/>
        </w:trPr>
        <w:tc>
          <w:tcPr>
            <w:tcW w:type="dxa" w:w="907"/>
          </w:tcPr>
          <w:p>
            <w:pPr>
              <w:spacing w:after="40" w:before="40"/>
              <w:jc w:val="center"/>
            </w:pPr>
            <w:r>
              <w:rPr>
                <w:rFonts w:ascii="Times New Roman" w:hAnsi="Times New Roman"/>
                <w:b/>
                <w:sz w:val="20"/>
              </w:rPr>
            </w:r>
            <w:r>
              <w:rPr>
                <w:rFonts w:ascii="Times New Roman" w:hAnsi="Times New Roman"/>
                <w:b/>
                <w:sz w:val="20"/>
              </w:rPr>
              <w:t>№ з/п</w:t>
            </w:r>
          </w:p>
        </w:tc>
        <w:tc>
          <w:tcPr>
            <w:tcW w:type="dxa" w:w="7313"/>
          </w:tcPr>
          <w:p>
            <w:pPr>
              <w:spacing w:after="40" w:before="40"/>
              <w:jc w:val="center"/>
            </w:pPr>
            <w:r>
              <w:rPr>
                <w:rFonts w:ascii="Times New Roman" w:hAnsi="Times New Roman"/>
                <w:b/>
                <w:sz w:val="20"/>
              </w:rPr>
            </w:r>
            <w:r>
              <w:rPr>
                <w:rFonts w:ascii="Times New Roman" w:hAnsi="Times New Roman"/>
                <w:b/>
                <w:sz w:val="20"/>
              </w:rPr>
              <w:t>Назва та зміст теми</w:t>
            </w:r>
          </w:p>
        </w:tc>
        <w:tc>
          <w:tcPr>
            <w:tcW w:type="dxa" w:w="1417"/>
          </w:tcPr>
          <w:p>
            <w:pPr>
              <w:spacing w:after="40" w:before="40"/>
              <w:jc w:val="center"/>
            </w:pPr>
            <w:r>
              <w:rPr>
                <w:rFonts w:ascii="Times New Roman" w:hAnsi="Times New Roman"/>
                <w:b/>
                <w:sz w:val="20"/>
              </w:rPr>
            </w:r>
            <w:r>
              <w:rPr>
                <w:rFonts w:ascii="Times New Roman" w:hAnsi="Times New Roman"/>
                <w:b/>
                <w:sz w:val="20"/>
              </w:rPr>
              <w:t>Обсяг теми, годин*</w:t>
            </w:r>
          </w:p>
        </w:tc>
      </w:tr>
      <w:tr>
        <w:tc>
          <w:tcPr>
            <w:tcW w:type="dxa" w:w="907"/>
          </w:tcPr>
          <w:p>
            <w:pPr>
              <w:spacing w:after="40" w:before="40"/>
              <w:jc w:val="left"/>
            </w:pPr>
            <w:r>
              <w:rPr>
                <w:rFonts w:ascii="Times New Roman" w:hAnsi="Times New Roman"/>
                <w:b/>
                <w:sz w:val="20"/>
              </w:rPr>
            </w:r>
            <w:r>
              <w:rPr>
                <w:rFonts w:ascii="Times New Roman" w:hAnsi="Times New Roman"/>
                <w:b/>
                <w:sz w:val="20"/>
              </w:rPr>
              <w:t>1.</w:t>
            </w:r>
          </w:p>
        </w:tc>
        <w:tc>
          <w:tcPr>
            <w:tcW w:type="dxa" w:w="7313"/>
          </w:tcPr>
          <w:p>
            <w:pPr>
              <w:spacing w:after="40" w:before="40"/>
              <w:jc w:val="left"/>
            </w:pPr>
            <w:r>
              <w:rPr>
                <w:rFonts w:ascii="Times New Roman" w:hAnsi="Times New Roman"/>
                <w:b/>
                <w:sz w:val="20"/>
              </w:rPr>
            </w:r>
            <w:r>
              <w:rPr>
                <w:rFonts w:ascii="Times New Roman" w:hAnsi="Times New Roman"/>
                <w:b/>
                <w:sz w:val="20"/>
              </w:rPr>
              <w:t>Застосування Міжнародного стандарту з управління якістю (МСУЯ) 1, визначення відповідальності, цілі та важливі терміни</w:t>
            </w:r>
          </w:p>
        </w:tc>
        <w:tc>
          <w:tcPr>
            <w:tcW w:type="dxa" w:w="1417"/>
          </w:tcPr>
          <w:p>
            <w:pPr>
              <w:spacing w:after="40" w:before="40"/>
              <w:jc w:val="center"/>
            </w:pPr>
            <w:r>
              <w:rPr>
                <w:rFonts w:ascii="Times New Roman" w:hAnsi="Times New Roman"/>
                <w:b/>
                <w:sz w:val="20"/>
              </w:rPr>
            </w:r>
            <w:r>
              <w:rPr>
                <w:rFonts w:ascii="Times New Roman" w:hAnsi="Times New Roman"/>
                <w:b/>
                <w:sz w:val="20"/>
              </w:rPr>
              <w:t>6</w:t>
            </w:r>
          </w:p>
        </w:tc>
      </w:tr>
      <w:tr>
        <w:tc>
          <w:tcPr>
            <w:tcW w:type="dxa" w:w="907"/>
          </w:tcPr>
          <w:p>
            <w:pPr>
              <w:spacing w:after="40" w:before="40"/>
              <w:jc w:val="left"/>
            </w:pPr>
            <w:r>
              <w:rPr>
                <w:rFonts w:ascii="Times New Roman" w:hAnsi="Times New Roman"/>
                <w:sz w:val="20"/>
              </w:rPr>
            </w:r>
            <w:r>
              <w:rPr>
                <w:rFonts w:ascii="Times New Roman" w:hAnsi="Times New Roman"/>
                <w:sz w:val="20"/>
              </w:rPr>
              <w:t>1.1.</w:t>
            </w:r>
          </w:p>
        </w:tc>
        <w:tc>
          <w:tcPr>
            <w:tcW w:type="dxa" w:w="7313"/>
          </w:tcPr>
          <w:p>
            <w:pPr>
              <w:spacing w:after="40" w:before="40"/>
              <w:jc w:val="left"/>
            </w:pPr>
            <w:r>
              <w:rPr>
                <w:rFonts w:ascii="Times New Roman" w:hAnsi="Times New Roman"/>
                <w:sz w:val="20"/>
              </w:rPr>
            </w:r>
            <w:r>
              <w:rPr>
                <w:rFonts w:ascii="Times New Roman" w:hAnsi="Times New Roman"/>
                <w:sz w:val="20"/>
              </w:rPr>
              <w:t>Сфера застосування МСУЯ 1 та взаємопов’язаність МСУЯ 2 і МСА 220 (переглянутого)</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sz w:val="20"/>
              </w:rPr>
            </w:r>
            <w:r>
              <w:rPr>
                <w:rFonts w:ascii="Times New Roman" w:hAnsi="Times New Roman"/>
                <w:sz w:val="20"/>
              </w:rPr>
              <w:t>1.2.</w:t>
            </w:r>
          </w:p>
        </w:tc>
        <w:tc>
          <w:tcPr>
            <w:tcW w:type="dxa" w:w="7313"/>
          </w:tcPr>
          <w:p>
            <w:pPr>
              <w:spacing w:after="40" w:before="40"/>
              <w:jc w:val="left"/>
            </w:pPr>
            <w:r>
              <w:rPr>
                <w:rFonts w:ascii="Times New Roman" w:hAnsi="Times New Roman"/>
                <w:sz w:val="20"/>
              </w:rPr>
            </w:r>
            <w:r>
              <w:rPr>
                <w:rFonts w:ascii="Times New Roman" w:hAnsi="Times New Roman"/>
                <w:sz w:val="20"/>
              </w:rPr>
              <w:t>Відповідальність фірми, партнерів із завдання та інших членів команди із завдання щодо управління якістю</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sz w:val="20"/>
              </w:rPr>
            </w:r>
            <w:r>
              <w:rPr>
                <w:rFonts w:ascii="Times New Roman" w:hAnsi="Times New Roman"/>
                <w:sz w:val="20"/>
              </w:rPr>
              <w:t>1.3.</w:t>
            </w:r>
          </w:p>
        </w:tc>
        <w:tc>
          <w:tcPr>
            <w:tcW w:type="dxa" w:w="7313"/>
          </w:tcPr>
          <w:p>
            <w:pPr>
              <w:spacing w:after="40" w:before="40"/>
              <w:jc w:val="left"/>
            </w:pPr>
            <w:r>
              <w:rPr>
                <w:rFonts w:ascii="Times New Roman" w:hAnsi="Times New Roman"/>
                <w:sz w:val="20"/>
              </w:rPr>
            </w:r>
            <w:r>
              <w:rPr>
                <w:rFonts w:ascii="Times New Roman" w:hAnsi="Times New Roman"/>
                <w:sz w:val="20"/>
              </w:rPr>
              <w:t>Цілі фірми щодо системи управління якістю та їх зв’язок з якістю завдань. Цілі фірми та статус МСУЯ 1</w:t>
            </w:r>
          </w:p>
        </w:tc>
        <w:tc>
          <w:tcPr>
            <w:tcW w:type="dxa" w:w="1417"/>
          </w:tcPr>
          <w:p>
            <w:pPr>
              <w:spacing w:after="40" w:before="40"/>
              <w:jc w:val="center"/>
            </w:pPr>
            <w:r>
              <w:rPr>
                <w:rFonts w:ascii="Times New Roman" w:hAnsi="Times New Roman"/>
                <w:sz w:val="20"/>
              </w:rPr>
            </w:r>
            <w:r>
              <w:rPr>
                <w:rFonts w:ascii="Times New Roman" w:hAnsi="Times New Roman"/>
                <w:sz w:val="20"/>
              </w:rPr>
              <w:t>2</w:t>
            </w:r>
          </w:p>
        </w:tc>
      </w:tr>
      <w:tr>
        <w:tc>
          <w:tcPr>
            <w:tcW w:type="dxa" w:w="907"/>
          </w:tcPr>
          <w:p>
            <w:pPr>
              <w:spacing w:after="40" w:before="40"/>
              <w:jc w:val="left"/>
            </w:pPr>
            <w:r>
              <w:rPr>
                <w:rFonts w:ascii="Times New Roman" w:hAnsi="Times New Roman"/>
                <w:sz w:val="20"/>
              </w:rPr>
            </w:r>
            <w:r>
              <w:rPr>
                <w:rFonts w:ascii="Times New Roman" w:hAnsi="Times New Roman"/>
                <w:sz w:val="20"/>
              </w:rPr>
              <w:t>1.4.</w:t>
            </w:r>
          </w:p>
        </w:tc>
        <w:tc>
          <w:tcPr>
            <w:tcW w:type="dxa" w:w="7313"/>
          </w:tcPr>
          <w:p>
            <w:pPr>
              <w:spacing w:after="40" w:before="40"/>
              <w:jc w:val="left"/>
            </w:pPr>
            <w:r>
              <w:rPr>
                <w:rFonts w:ascii="Times New Roman" w:hAnsi="Times New Roman"/>
                <w:sz w:val="20"/>
              </w:rPr>
            </w:r>
            <w:r>
              <w:rPr>
                <w:rFonts w:ascii="Times New Roman" w:hAnsi="Times New Roman"/>
                <w:sz w:val="20"/>
              </w:rPr>
              <w:t>Важливі терміни. Складнощі їх тлумачення та застосування</w:t>
            </w:r>
          </w:p>
        </w:tc>
        <w:tc>
          <w:tcPr>
            <w:tcW w:type="dxa" w:w="1417"/>
          </w:tcPr>
          <w:p>
            <w:pPr>
              <w:spacing w:after="40" w:before="40"/>
              <w:jc w:val="center"/>
            </w:pPr>
            <w:r>
              <w:rPr>
                <w:rFonts w:ascii="Times New Roman" w:hAnsi="Times New Roman"/>
                <w:sz w:val="20"/>
              </w:rPr>
            </w:r>
            <w:r>
              <w:rPr>
                <w:rFonts w:ascii="Times New Roman" w:hAnsi="Times New Roman"/>
                <w:sz w:val="20"/>
              </w:rPr>
              <w:t>2</w:t>
            </w:r>
          </w:p>
        </w:tc>
      </w:tr>
      <w:tr>
        <w:tc>
          <w:tcPr>
            <w:tcW w:type="dxa" w:w="907"/>
          </w:tcPr>
          <w:p>
            <w:pPr>
              <w:spacing w:after="40" w:before="40"/>
              <w:jc w:val="left"/>
            </w:pPr>
            <w:r>
              <w:rPr>
                <w:rFonts w:ascii="Times New Roman" w:hAnsi="Times New Roman"/>
                <w:b/>
                <w:sz w:val="20"/>
              </w:rPr>
            </w:r>
            <w:r>
              <w:rPr>
                <w:rFonts w:ascii="Times New Roman" w:hAnsi="Times New Roman"/>
                <w:b/>
                <w:sz w:val="20"/>
              </w:rPr>
              <w:t>2.</w:t>
            </w:r>
          </w:p>
        </w:tc>
        <w:tc>
          <w:tcPr>
            <w:tcW w:type="dxa" w:w="7313"/>
          </w:tcPr>
          <w:p>
            <w:pPr>
              <w:spacing w:after="40" w:before="40"/>
              <w:jc w:val="left"/>
            </w:pPr>
            <w:r>
              <w:rPr>
                <w:rFonts w:ascii="Times New Roman" w:hAnsi="Times New Roman"/>
                <w:b/>
                <w:sz w:val="20"/>
              </w:rPr>
            </w:r>
            <w:r>
              <w:rPr>
                <w:rFonts w:ascii="Times New Roman" w:hAnsi="Times New Roman"/>
                <w:b/>
                <w:sz w:val="20"/>
              </w:rPr>
              <w:t>Ключові вимоги до розробки, впровадження та функціонування системи управління якістю фірми</w:t>
            </w:r>
          </w:p>
        </w:tc>
        <w:tc>
          <w:tcPr>
            <w:tcW w:type="dxa" w:w="1417"/>
          </w:tcPr>
          <w:p>
            <w:pPr>
              <w:spacing w:after="40" w:before="40"/>
              <w:jc w:val="center"/>
            </w:pPr>
            <w:r>
              <w:rPr>
                <w:rFonts w:ascii="Times New Roman" w:hAnsi="Times New Roman"/>
                <w:b/>
                <w:sz w:val="20"/>
              </w:rPr>
            </w:r>
            <w:r>
              <w:rPr>
                <w:rFonts w:ascii="Times New Roman" w:hAnsi="Times New Roman"/>
                <w:b/>
                <w:sz w:val="20"/>
              </w:rPr>
              <w:t>4</w:t>
            </w:r>
          </w:p>
        </w:tc>
      </w:tr>
      <w:tr>
        <w:tc>
          <w:tcPr>
            <w:tcW w:type="dxa" w:w="907"/>
          </w:tcPr>
          <w:p>
            <w:pPr>
              <w:spacing w:after="40" w:before="40"/>
              <w:jc w:val="left"/>
            </w:pPr>
            <w:r>
              <w:rPr>
                <w:rFonts w:ascii="Times New Roman" w:hAnsi="Times New Roman"/>
                <w:sz w:val="20"/>
              </w:rPr>
            </w:r>
            <w:r>
              <w:rPr>
                <w:rFonts w:ascii="Times New Roman" w:hAnsi="Times New Roman"/>
                <w:sz w:val="20"/>
              </w:rPr>
              <w:t>2.1.</w:t>
            </w:r>
          </w:p>
        </w:tc>
        <w:tc>
          <w:tcPr>
            <w:tcW w:type="dxa" w:w="7313"/>
          </w:tcPr>
          <w:p>
            <w:pPr>
              <w:spacing w:after="40" w:before="40"/>
              <w:jc w:val="left"/>
            </w:pPr>
            <w:r>
              <w:rPr>
                <w:rFonts w:ascii="Times New Roman" w:hAnsi="Times New Roman"/>
                <w:sz w:val="20"/>
              </w:rPr>
            </w:r>
            <w:r>
              <w:rPr>
                <w:rFonts w:ascii="Times New Roman" w:hAnsi="Times New Roman"/>
                <w:sz w:val="20"/>
              </w:rPr>
              <w:t>Структура системи управління якістю фірми</w:t>
            </w:r>
          </w:p>
        </w:tc>
        <w:tc>
          <w:tcPr>
            <w:tcW w:type="dxa" w:w="1417"/>
          </w:tcPr>
          <w:p>
            <w:pPr>
              <w:spacing w:after="40" w:before="40"/>
              <w:jc w:val="center"/>
            </w:pPr>
            <w:r>
              <w:rPr>
                <w:rFonts w:ascii="Times New Roman" w:hAnsi="Times New Roman"/>
                <w:sz w:val="20"/>
              </w:rPr>
            </w:r>
            <w:r>
              <w:rPr>
                <w:rFonts w:ascii="Times New Roman" w:hAnsi="Times New Roman"/>
                <w:sz w:val="20"/>
              </w:rPr>
              <w:t>2</w:t>
            </w:r>
          </w:p>
        </w:tc>
      </w:tr>
      <w:tr>
        <w:tc>
          <w:tcPr>
            <w:tcW w:type="dxa" w:w="907"/>
          </w:tcPr>
          <w:p>
            <w:pPr>
              <w:spacing w:after="40" w:before="40"/>
              <w:jc w:val="left"/>
            </w:pPr>
            <w:r>
              <w:rPr>
                <w:rFonts w:ascii="Times New Roman" w:hAnsi="Times New Roman"/>
                <w:sz w:val="20"/>
              </w:rPr>
            </w:r>
            <w:r>
              <w:rPr>
                <w:rFonts w:ascii="Times New Roman" w:hAnsi="Times New Roman"/>
                <w:sz w:val="20"/>
              </w:rPr>
              <w:t>2.2.</w:t>
            </w:r>
          </w:p>
        </w:tc>
        <w:tc>
          <w:tcPr>
            <w:tcW w:type="dxa" w:w="7313"/>
          </w:tcPr>
          <w:p>
            <w:pPr>
              <w:spacing w:after="40" w:before="40"/>
              <w:jc w:val="left"/>
            </w:pPr>
            <w:r>
              <w:rPr>
                <w:rFonts w:ascii="Times New Roman" w:hAnsi="Times New Roman"/>
                <w:sz w:val="20"/>
              </w:rPr>
            </w:r>
            <w:r>
              <w:rPr>
                <w:rFonts w:ascii="Times New Roman" w:hAnsi="Times New Roman"/>
                <w:sz w:val="20"/>
              </w:rPr>
              <w:t>Ключові вимоги та важливість їх дотримання</w:t>
            </w:r>
          </w:p>
        </w:tc>
        <w:tc>
          <w:tcPr>
            <w:tcW w:type="dxa" w:w="1417"/>
          </w:tcPr>
          <w:p>
            <w:pPr>
              <w:spacing w:after="40" w:before="40"/>
              <w:jc w:val="center"/>
            </w:pPr>
            <w:r>
              <w:rPr>
                <w:rFonts w:ascii="Times New Roman" w:hAnsi="Times New Roman"/>
                <w:sz w:val="20"/>
              </w:rPr>
            </w:r>
            <w:r>
              <w:rPr>
                <w:rFonts w:ascii="Times New Roman" w:hAnsi="Times New Roman"/>
                <w:sz w:val="20"/>
              </w:rPr>
              <w:t>2</w:t>
            </w:r>
          </w:p>
        </w:tc>
      </w:tr>
      <w:tr>
        <w:tc>
          <w:tcPr>
            <w:tcW w:type="dxa" w:w="907"/>
          </w:tcPr>
          <w:p>
            <w:pPr>
              <w:spacing w:after="40" w:before="40"/>
              <w:jc w:val="left"/>
            </w:pPr>
            <w:r>
              <w:rPr>
                <w:rFonts w:ascii="Times New Roman" w:hAnsi="Times New Roman"/>
                <w:b/>
                <w:sz w:val="20"/>
              </w:rPr>
            </w:r>
            <w:r>
              <w:rPr>
                <w:rFonts w:ascii="Times New Roman" w:hAnsi="Times New Roman"/>
                <w:b/>
                <w:sz w:val="20"/>
              </w:rPr>
              <w:t>3.</w:t>
            </w:r>
          </w:p>
        </w:tc>
        <w:tc>
          <w:tcPr>
            <w:tcW w:type="dxa" w:w="7313"/>
          </w:tcPr>
          <w:p>
            <w:pPr>
              <w:spacing w:after="40" w:before="40"/>
              <w:jc w:val="left"/>
            </w:pPr>
            <w:r>
              <w:rPr>
                <w:rFonts w:ascii="Times New Roman" w:hAnsi="Times New Roman"/>
                <w:b/>
                <w:sz w:val="20"/>
              </w:rPr>
            </w:r>
            <w:r>
              <w:rPr>
                <w:rFonts w:ascii="Times New Roman" w:hAnsi="Times New Roman"/>
                <w:b/>
                <w:sz w:val="20"/>
              </w:rPr>
              <w:t>Процес оцінки ризиків фірми</w:t>
            </w:r>
          </w:p>
        </w:tc>
        <w:tc>
          <w:tcPr>
            <w:tcW w:type="dxa" w:w="1417"/>
          </w:tcPr>
          <w:p>
            <w:pPr>
              <w:spacing w:after="40" w:before="40"/>
              <w:jc w:val="center"/>
            </w:pPr>
            <w:r>
              <w:rPr>
                <w:rFonts w:ascii="Times New Roman" w:hAnsi="Times New Roman"/>
                <w:b/>
                <w:sz w:val="20"/>
              </w:rPr>
            </w:r>
            <w:r>
              <w:rPr>
                <w:rFonts w:ascii="Times New Roman" w:hAnsi="Times New Roman"/>
                <w:b/>
                <w:sz w:val="20"/>
              </w:rPr>
              <w:t>6</w:t>
            </w:r>
          </w:p>
        </w:tc>
      </w:tr>
      <w:tr>
        <w:tc>
          <w:tcPr>
            <w:tcW w:type="dxa" w:w="907"/>
          </w:tcPr>
          <w:p>
            <w:pPr>
              <w:spacing w:after="40" w:before="40"/>
              <w:jc w:val="left"/>
            </w:pPr>
            <w:r>
              <w:rPr>
                <w:rFonts w:ascii="Times New Roman" w:hAnsi="Times New Roman"/>
                <w:sz w:val="20"/>
              </w:rPr>
            </w:r>
            <w:r>
              <w:rPr>
                <w:rFonts w:ascii="Times New Roman" w:hAnsi="Times New Roman"/>
                <w:sz w:val="20"/>
              </w:rPr>
              <w:t>3.1.</w:t>
            </w:r>
          </w:p>
        </w:tc>
        <w:tc>
          <w:tcPr>
            <w:tcW w:type="dxa" w:w="7313"/>
          </w:tcPr>
          <w:p>
            <w:pPr>
              <w:spacing w:after="40" w:before="40"/>
              <w:jc w:val="left"/>
            </w:pPr>
            <w:r>
              <w:rPr>
                <w:rFonts w:ascii="Times New Roman" w:hAnsi="Times New Roman"/>
                <w:sz w:val="20"/>
              </w:rPr>
            </w:r>
            <w:r>
              <w:rPr>
                <w:rFonts w:ascii="Times New Roman" w:hAnsi="Times New Roman"/>
                <w:sz w:val="20"/>
              </w:rPr>
              <w:t>Ідентифікація та оцінка ризиків якості</w:t>
            </w:r>
          </w:p>
        </w:tc>
        <w:tc>
          <w:tcPr>
            <w:tcW w:type="dxa" w:w="1417"/>
          </w:tcPr>
          <w:p>
            <w:pPr>
              <w:spacing w:after="40" w:before="40"/>
              <w:jc w:val="center"/>
            </w:pPr>
            <w:r>
              <w:rPr>
                <w:rFonts w:ascii="Times New Roman" w:hAnsi="Times New Roman"/>
                <w:sz w:val="20"/>
              </w:rPr>
            </w:r>
            <w:r>
              <w:rPr>
                <w:rFonts w:ascii="Times New Roman" w:hAnsi="Times New Roman"/>
                <w:sz w:val="20"/>
              </w:rPr>
              <w:t>2</w:t>
            </w:r>
          </w:p>
        </w:tc>
      </w:tr>
      <w:tr>
        <w:tc>
          <w:tcPr>
            <w:tcW w:type="dxa" w:w="907"/>
          </w:tcPr>
          <w:p>
            <w:pPr>
              <w:spacing w:after="40" w:before="40"/>
              <w:jc w:val="left"/>
            </w:pPr>
            <w:r>
              <w:rPr>
                <w:rFonts w:ascii="Times New Roman" w:hAnsi="Times New Roman"/>
                <w:sz w:val="20"/>
              </w:rPr>
            </w:r>
            <w:r>
              <w:rPr>
                <w:rFonts w:ascii="Times New Roman" w:hAnsi="Times New Roman"/>
                <w:sz w:val="20"/>
              </w:rPr>
              <w:t>3.2.</w:t>
            </w:r>
          </w:p>
        </w:tc>
        <w:tc>
          <w:tcPr>
            <w:tcW w:type="dxa" w:w="7313"/>
          </w:tcPr>
          <w:p>
            <w:pPr>
              <w:spacing w:after="40" w:before="40"/>
              <w:jc w:val="left"/>
            </w:pPr>
            <w:r>
              <w:rPr>
                <w:rFonts w:ascii="Times New Roman" w:hAnsi="Times New Roman"/>
                <w:sz w:val="20"/>
              </w:rPr>
            </w:r>
            <w:r>
              <w:rPr>
                <w:rFonts w:ascii="Times New Roman" w:hAnsi="Times New Roman"/>
                <w:sz w:val="20"/>
              </w:rPr>
              <w:t>Встановлення цілей якості та інших додаткових цілей якості для досягнення цілей системи управління якістю</w:t>
            </w:r>
          </w:p>
        </w:tc>
        <w:tc>
          <w:tcPr>
            <w:tcW w:type="dxa" w:w="1417"/>
          </w:tcPr>
          <w:p>
            <w:pPr>
              <w:spacing w:after="40" w:before="40"/>
              <w:jc w:val="center"/>
            </w:pPr>
            <w:r>
              <w:rPr>
                <w:rFonts w:ascii="Times New Roman" w:hAnsi="Times New Roman"/>
                <w:sz w:val="20"/>
              </w:rPr>
            </w:r>
            <w:r>
              <w:rPr>
                <w:rFonts w:ascii="Times New Roman" w:hAnsi="Times New Roman"/>
                <w:sz w:val="20"/>
              </w:rPr>
              <w:t>2</w:t>
            </w:r>
          </w:p>
        </w:tc>
      </w:tr>
      <w:tr>
        <w:tc>
          <w:tcPr>
            <w:tcW w:type="dxa" w:w="907"/>
          </w:tcPr>
          <w:p>
            <w:pPr>
              <w:spacing w:after="40" w:before="40"/>
              <w:jc w:val="left"/>
            </w:pPr>
            <w:r>
              <w:rPr>
                <w:rFonts w:ascii="Times New Roman" w:hAnsi="Times New Roman"/>
                <w:sz w:val="20"/>
              </w:rPr>
            </w:r>
            <w:r>
              <w:rPr>
                <w:rFonts w:ascii="Times New Roman" w:hAnsi="Times New Roman"/>
                <w:sz w:val="20"/>
              </w:rPr>
              <w:t>3.3.</w:t>
            </w:r>
          </w:p>
        </w:tc>
        <w:tc>
          <w:tcPr>
            <w:tcW w:type="dxa" w:w="7313"/>
          </w:tcPr>
          <w:p>
            <w:pPr>
              <w:spacing w:after="40" w:before="40"/>
              <w:jc w:val="left"/>
            </w:pPr>
            <w:r>
              <w:rPr>
                <w:rFonts w:ascii="Times New Roman" w:hAnsi="Times New Roman"/>
                <w:sz w:val="20"/>
              </w:rPr>
            </w:r>
            <w:r>
              <w:rPr>
                <w:rFonts w:ascii="Times New Roman" w:hAnsi="Times New Roman"/>
                <w:sz w:val="20"/>
              </w:rPr>
              <w:t>Розробка та впровадження дій у відповідь на ризики якості</w:t>
            </w:r>
          </w:p>
        </w:tc>
        <w:tc>
          <w:tcPr>
            <w:tcW w:type="dxa" w:w="1417"/>
          </w:tcPr>
          <w:p>
            <w:pPr>
              <w:spacing w:after="40" w:before="40"/>
              <w:jc w:val="center"/>
            </w:pPr>
            <w:r>
              <w:rPr>
                <w:rFonts w:ascii="Times New Roman" w:hAnsi="Times New Roman"/>
                <w:sz w:val="20"/>
              </w:rPr>
            </w:r>
            <w:r>
              <w:rPr>
                <w:rFonts w:ascii="Times New Roman" w:hAnsi="Times New Roman"/>
                <w:sz w:val="20"/>
              </w:rPr>
              <w:t>2</w:t>
            </w:r>
          </w:p>
        </w:tc>
      </w:tr>
      <w:tr>
        <w:tc>
          <w:tcPr>
            <w:tcW w:type="dxa" w:w="907"/>
          </w:tcPr>
          <w:p>
            <w:pPr>
              <w:spacing w:after="40" w:before="40"/>
              <w:jc w:val="left"/>
            </w:pPr>
            <w:r>
              <w:rPr>
                <w:rFonts w:ascii="Times New Roman" w:hAnsi="Times New Roman"/>
                <w:b/>
                <w:sz w:val="20"/>
              </w:rPr>
            </w:r>
            <w:r>
              <w:rPr>
                <w:rFonts w:ascii="Times New Roman" w:hAnsi="Times New Roman"/>
                <w:b/>
                <w:sz w:val="20"/>
              </w:rPr>
              <w:t>4.</w:t>
            </w:r>
          </w:p>
        </w:tc>
        <w:tc>
          <w:tcPr>
            <w:tcW w:type="dxa" w:w="7313"/>
          </w:tcPr>
          <w:p>
            <w:pPr>
              <w:spacing w:after="40" w:before="40"/>
              <w:jc w:val="left"/>
            </w:pPr>
            <w:r>
              <w:rPr>
                <w:rFonts w:ascii="Times New Roman" w:hAnsi="Times New Roman"/>
                <w:b/>
                <w:sz w:val="20"/>
              </w:rPr>
            </w:r>
            <w:r>
              <w:rPr>
                <w:rFonts w:ascii="Times New Roman" w:hAnsi="Times New Roman"/>
                <w:b/>
                <w:sz w:val="20"/>
              </w:rPr>
              <w:t>Встановлення цілей якості, які стосуються:</w:t>
            </w:r>
          </w:p>
        </w:tc>
        <w:tc>
          <w:tcPr>
            <w:tcW w:type="dxa" w:w="1417"/>
          </w:tcPr>
          <w:p>
            <w:pPr>
              <w:spacing w:after="40" w:before="40"/>
              <w:jc w:val="center"/>
            </w:pPr>
            <w:r>
              <w:rPr>
                <w:rFonts w:ascii="Times New Roman" w:hAnsi="Times New Roman"/>
                <w:b/>
                <w:sz w:val="20"/>
              </w:rPr>
            </w:r>
            <w:r>
              <w:rPr>
                <w:rFonts w:ascii="Times New Roman" w:hAnsi="Times New Roman"/>
                <w:b/>
                <w:sz w:val="20"/>
              </w:rPr>
              <w:t>8</w:t>
            </w:r>
          </w:p>
        </w:tc>
      </w:tr>
      <w:tr>
        <w:tc>
          <w:tcPr>
            <w:tcW w:type="dxa" w:w="907"/>
          </w:tcPr>
          <w:p>
            <w:pPr>
              <w:spacing w:after="40" w:before="40"/>
              <w:jc w:val="left"/>
            </w:pPr>
            <w:r>
              <w:rPr>
                <w:rFonts w:ascii="Times New Roman" w:hAnsi="Times New Roman"/>
                <w:sz w:val="20"/>
              </w:rPr>
            </w:r>
            <w:r>
              <w:rPr>
                <w:rFonts w:ascii="Times New Roman" w:hAnsi="Times New Roman"/>
                <w:sz w:val="20"/>
              </w:rPr>
              <w:t>4.1.</w:t>
            </w:r>
          </w:p>
        </w:tc>
        <w:tc>
          <w:tcPr>
            <w:tcW w:type="dxa" w:w="7313"/>
          </w:tcPr>
          <w:p>
            <w:pPr>
              <w:spacing w:after="40" w:before="40"/>
              <w:jc w:val="left"/>
            </w:pPr>
            <w:r>
              <w:rPr>
                <w:rFonts w:ascii="Times New Roman" w:hAnsi="Times New Roman"/>
                <w:sz w:val="20"/>
              </w:rPr>
            </w:r>
            <w:r>
              <w:rPr>
                <w:rFonts w:ascii="Times New Roman" w:hAnsi="Times New Roman"/>
                <w:sz w:val="20"/>
              </w:rPr>
              <w:t>Управління і керівництва фірми: демонстрація відданості якості через культуру, що існує у всій фірмі; відповідальність і підзвітність керівництва за якість; демонстрація відданості якості керівництвом своїми діями і поведінкою; організаційна структура і розподіл ролей, обов’язків і повноважень; планування потреби в ресурсах, включаючи фінансові ресурси, виділення, отримання та розподіл ресурсів</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sz w:val="20"/>
              </w:rPr>
            </w:r>
            <w:r>
              <w:rPr>
                <w:rFonts w:ascii="Times New Roman" w:hAnsi="Times New Roman"/>
                <w:sz w:val="20"/>
              </w:rPr>
              <w:t>4.2.</w:t>
            </w:r>
          </w:p>
        </w:tc>
        <w:tc>
          <w:tcPr>
            <w:tcW w:type="dxa" w:w="7313"/>
          </w:tcPr>
          <w:p>
            <w:pPr>
              <w:spacing w:after="40" w:before="40"/>
              <w:jc w:val="left"/>
            </w:pPr>
            <w:r>
              <w:rPr>
                <w:rFonts w:ascii="Times New Roman" w:hAnsi="Times New Roman"/>
                <w:sz w:val="20"/>
              </w:rPr>
            </w:r>
            <w:r>
              <w:rPr>
                <w:rFonts w:ascii="Times New Roman" w:hAnsi="Times New Roman"/>
                <w:sz w:val="20"/>
              </w:rPr>
              <w:t>Відповідних етичних вимог</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sz w:val="20"/>
              </w:rPr>
            </w:r>
            <w:r>
              <w:rPr>
                <w:rFonts w:ascii="Times New Roman" w:hAnsi="Times New Roman"/>
                <w:sz w:val="20"/>
              </w:rPr>
              <w:t>4.3.</w:t>
            </w:r>
          </w:p>
        </w:tc>
        <w:tc>
          <w:tcPr>
            <w:tcW w:type="dxa" w:w="7313"/>
          </w:tcPr>
          <w:p>
            <w:pPr>
              <w:spacing w:after="40" w:before="40"/>
              <w:jc w:val="left"/>
            </w:pPr>
            <w:r>
              <w:rPr>
                <w:rFonts w:ascii="Times New Roman" w:hAnsi="Times New Roman"/>
                <w:sz w:val="20"/>
              </w:rPr>
            </w:r>
            <w:r>
              <w:rPr>
                <w:rFonts w:ascii="Times New Roman" w:hAnsi="Times New Roman"/>
                <w:sz w:val="20"/>
              </w:rPr>
              <w:t>Прийняття та продовження відносин з клієнтами і конкретних завдань: характер і обставини завдання, а також чесність і етичні цінності клієнта; здатність фірми виконати завдання; фінансові та операційні пріоритети фірми</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sz w:val="20"/>
              </w:rPr>
            </w:r>
            <w:r>
              <w:rPr>
                <w:rFonts w:ascii="Times New Roman" w:hAnsi="Times New Roman"/>
                <w:sz w:val="20"/>
              </w:rPr>
              <w:t>4.4.</w:t>
            </w:r>
          </w:p>
        </w:tc>
        <w:tc>
          <w:tcPr>
            <w:tcW w:type="dxa" w:w="7313"/>
          </w:tcPr>
          <w:p>
            <w:pPr>
              <w:spacing w:after="40" w:before="40"/>
              <w:jc w:val="left"/>
            </w:pPr>
            <w:r>
              <w:rPr>
                <w:rFonts w:ascii="Times New Roman" w:hAnsi="Times New Roman"/>
                <w:sz w:val="20"/>
              </w:rPr>
            </w:r>
            <w:r>
              <w:rPr>
                <w:rFonts w:ascii="Times New Roman" w:hAnsi="Times New Roman"/>
                <w:sz w:val="20"/>
              </w:rPr>
              <w:t>Виконання завдання</w:t>
            </w:r>
          </w:p>
        </w:tc>
        <w:tc>
          <w:tcPr>
            <w:tcW w:type="dxa" w:w="1417"/>
          </w:tcPr>
          <w:p>
            <w:pPr>
              <w:spacing w:after="40" w:before="40"/>
              <w:jc w:val="center"/>
            </w:pPr>
            <w:r>
              <w:rPr>
                <w:rFonts w:ascii="Times New Roman" w:hAnsi="Times New Roman"/>
                <w:sz w:val="20"/>
              </w:rPr>
            </w:r>
            <w:r>
              <w:rPr>
                <w:rFonts w:ascii="Times New Roman" w:hAnsi="Times New Roman"/>
                <w:sz w:val="20"/>
              </w:rPr>
              <w:t>3</w:t>
            </w:r>
          </w:p>
        </w:tc>
      </w:tr>
      <w:tr>
        <w:tc>
          <w:tcPr>
            <w:tcW w:type="dxa" w:w="907"/>
          </w:tcPr>
          <w:p>
            <w:pPr>
              <w:spacing w:after="40" w:before="40"/>
              <w:jc w:val="left"/>
            </w:pPr>
            <w:r>
              <w:rPr>
                <w:rFonts w:ascii="Times New Roman" w:hAnsi="Times New Roman"/>
                <w:sz w:val="20"/>
              </w:rPr>
            </w:r>
            <w:r>
              <w:rPr>
                <w:rFonts w:ascii="Times New Roman" w:hAnsi="Times New Roman"/>
                <w:sz w:val="20"/>
              </w:rPr>
              <w:t>4.5.</w:t>
            </w:r>
          </w:p>
        </w:tc>
        <w:tc>
          <w:tcPr>
            <w:tcW w:type="dxa" w:w="7313"/>
          </w:tcPr>
          <w:p>
            <w:pPr>
              <w:spacing w:after="40" w:before="40"/>
              <w:jc w:val="left"/>
            </w:pPr>
            <w:r>
              <w:rPr>
                <w:rFonts w:ascii="Times New Roman" w:hAnsi="Times New Roman"/>
                <w:sz w:val="20"/>
              </w:rPr>
            </w:r>
            <w:r>
              <w:rPr>
                <w:rFonts w:ascii="Times New Roman" w:hAnsi="Times New Roman"/>
                <w:sz w:val="20"/>
              </w:rPr>
              <w:t>Ресурсів: людські ресурси (персонал наймають, розвивають, утримують, і він володіє компетенцією та можливостями); технологічні та інтелектуальні ресурси</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sz w:val="20"/>
              </w:rPr>
            </w:r>
            <w:r>
              <w:rPr>
                <w:rFonts w:ascii="Times New Roman" w:hAnsi="Times New Roman"/>
                <w:sz w:val="20"/>
              </w:rPr>
              <w:t>4.6.</w:t>
            </w:r>
          </w:p>
        </w:tc>
        <w:tc>
          <w:tcPr>
            <w:tcW w:type="dxa" w:w="7313"/>
          </w:tcPr>
          <w:p>
            <w:pPr>
              <w:spacing w:after="40" w:before="40"/>
              <w:jc w:val="left"/>
            </w:pPr>
            <w:r>
              <w:rPr>
                <w:rFonts w:ascii="Times New Roman" w:hAnsi="Times New Roman"/>
                <w:sz w:val="20"/>
              </w:rPr>
            </w:r>
            <w:r>
              <w:rPr>
                <w:rFonts w:ascii="Times New Roman" w:hAnsi="Times New Roman"/>
                <w:sz w:val="20"/>
              </w:rPr>
              <w:t>Інформації та комунікацій</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b/>
                <w:sz w:val="20"/>
              </w:rPr>
            </w:r>
            <w:r>
              <w:rPr>
                <w:rFonts w:ascii="Times New Roman" w:hAnsi="Times New Roman"/>
                <w:b/>
                <w:sz w:val="20"/>
              </w:rPr>
              <w:t>5.</w:t>
            </w:r>
          </w:p>
        </w:tc>
        <w:tc>
          <w:tcPr>
            <w:tcW w:type="dxa" w:w="7313"/>
          </w:tcPr>
          <w:p>
            <w:pPr>
              <w:spacing w:after="40" w:before="40"/>
              <w:jc w:val="left"/>
            </w:pPr>
            <w:r>
              <w:rPr>
                <w:rFonts w:ascii="Times New Roman" w:hAnsi="Times New Roman"/>
                <w:b/>
                <w:sz w:val="20"/>
              </w:rPr>
            </w:r>
            <w:r>
              <w:rPr>
                <w:rFonts w:ascii="Times New Roman" w:hAnsi="Times New Roman"/>
                <w:b/>
                <w:sz w:val="20"/>
              </w:rPr>
              <w:t>Визначені дії у відповідь</w:t>
            </w:r>
          </w:p>
        </w:tc>
        <w:tc>
          <w:tcPr>
            <w:tcW w:type="dxa" w:w="1417"/>
          </w:tcPr>
          <w:p>
            <w:pPr>
              <w:spacing w:after="40" w:before="40"/>
              <w:jc w:val="center"/>
            </w:pPr>
            <w:r>
              <w:rPr>
                <w:rFonts w:ascii="Times New Roman" w:hAnsi="Times New Roman"/>
                <w:b/>
                <w:sz w:val="20"/>
              </w:rPr>
            </w:r>
            <w:r>
              <w:rPr>
                <w:rFonts w:ascii="Times New Roman" w:hAnsi="Times New Roman"/>
                <w:b/>
                <w:sz w:val="20"/>
              </w:rPr>
              <w:t>4</w:t>
            </w:r>
          </w:p>
        </w:tc>
      </w:tr>
      <w:tr>
        <w:tc>
          <w:tcPr>
            <w:tcW w:type="dxa" w:w="907"/>
          </w:tcPr>
          <w:p>
            <w:pPr>
              <w:spacing w:after="40" w:before="40"/>
              <w:jc w:val="left"/>
            </w:pPr>
            <w:r>
              <w:rPr>
                <w:rFonts w:ascii="Times New Roman" w:hAnsi="Times New Roman"/>
                <w:sz w:val="20"/>
              </w:rPr>
            </w:r>
            <w:r>
              <w:rPr>
                <w:rFonts w:ascii="Times New Roman" w:hAnsi="Times New Roman"/>
                <w:sz w:val="20"/>
              </w:rPr>
              <w:t>5.1.</w:t>
            </w:r>
          </w:p>
        </w:tc>
        <w:tc>
          <w:tcPr>
            <w:tcW w:type="dxa" w:w="7313"/>
          </w:tcPr>
          <w:p>
            <w:pPr>
              <w:spacing w:after="40" w:before="40"/>
              <w:jc w:val="left"/>
            </w:pPr>
            <w:r>
              <w:rPr>
                <w:rFonts w:ascii="Times New Roman" w:hAnsi="Times New Roman"/>
                <w:sz w:val="20"/>
              </w:rPr>
            </w:r>
            <w:r>
              <w:rPr>
                <w:rFonts w:ascii="Times New Roman" w:hAnsi="Times New Roman"/>
                <w:sz w:val="20"/>
              </w:rPr>
              <w:t>Встановлення політик або процедур для ідентифікації, оцінювання та реагування на загрози дотриманню відповідних етичних вимог</w:t>
            </w:r>
          </w:p>
        </w:tc>
        <w:tc>
          <w:tcPr>
            <w:tcW w:type="dxa" w:w="1417"/>
          </w:tcPr>
          <w:p>
            <w:pPr>
              <w:spacing w:after="40" w:before="40"/>
              <w:jc w:val="center"/>
            </w:pPr>
            <w:r>
              <w:rPr>
                <w:rFonts w:ascii="Times New Roman" w:hAnsi="Times New Roman"/>
                <w:sz w:val="20"/>
              </w:rPr>
            </w:r>
            <w:r>
              <w:rPr>
                <w:rFonts w:ascii="Times New Roman" w:hAnsi="Times New Roman"/>
                <w:sz w:val="20"/>
              </w:rPr>
              <w:t>0,5</w:t>
            </w:r>
          </w:p>
        </w:tc>
      </w:tr>
      <w:tr>
        <w:tc>
          <w:tcPr>
            <w:tcW w:type="dxa" w:w="907"/>
          </w:tcPr>
          <w:p>
            <w:pPr>
              <w:spacing w:after="40" w:before="40"/>
              <w:jc w:val="left"/>
            </w:pPr>
            <w:r>
              <w:rPr>
                <w:rFonts w:ascii="Times New Roman" w:hAnsi="Times New Roman"/>
                <w:sz w:val="20"/>
              </w:rPr>
            </w:r>
            <w:r>
              <w:rPr>
                <w:rFonts w:ascii="Times New Roman" w:hAnsi="Times New Roman"/>
                <w:sz w:val="20"/>
              </w:rPr>
              <w:t>5.2.</w:t>
            </w:r>
          </w:p>
        </w:tc>
        <w:tc>
          <w:tcPr>
            <w:tcW w:type="dxa" w:w="7313"/>
          </w:tcPr>
          <w:p>
            <w:pPr>
              <w:spacing w:after="40" w:before="40"/>
              <w:jc w:val="left"/>
            </w:pPr>
            <w:r>
              <w:rPr>
                <w:rFonts w:ascii="Times New Roman" w:hAnsi="Times New Roman"/>
                <w:sz w:val="20"/>
              </w:rPr>
            </w:r>
            <w:r>
              <w:rPr>
                <w:rFonts w:ascii="Times New Roman" w:hAnsi="Times New Roman"/>
                <w:sz w:val="20"/>
              </w:rPr>
              <w:t>Встановлення політик або процедур для отримання, розслідування та вирішення скарг і звинувачень про невиконання роботи відповідно до професійних стандартів</w:t>
            </w:r>
          </w:p>
        </w:tc>
        <w:tc>
          <w:tcPr>
            <w:tcW w:type="dxa" w:w="1417"/>
          </w:tcPr>
          <w:p>
            <w:pPr>
              <w:spacing w:after="40" w:before="40"/>
              <w:jc w:val="center"/>
            </w:pPr>
            <w:r>
              <w:rPr>
                <w:rFonts w:ascii="Times New Roman" w:hAnsi="Times New Roman"/>
                <w:sz w:val="20"/>
              </w:rPr>
            </w:r>
            <w:r>
              <w:rPr>
                <w:rFonts w:ascii="Times New Roman" w:hAnsi="Times New Roman"/>
                <w:sz w:val="20"/>
              </w:rPr>
              <w:t>0,5</w:t>
            </w:r>
          </w:p>
        </w:tc>
      </w:tr>
      <w:tr>
        <w:tc>
          <w:tcPr>
            <w:tcW w:type="dxa" w:w="907"/>
          </w:tcPr>
          <w:p>
            <w:pPr>
              <w:spacing w:after="40" w:before="40"/>
              <w:jc w:val="left"/>
            </w:pPr>
            <w:r>
              <w:rPr>
                <w:rFonts w:ascii="Times New Roman" w:hAnsi="Times New Roman"/>
                <w:sz w:val="20"/>
              </w:rPr>
            </w:r>
            <w:r>
              <w:rPr>
                <w:rFonts w:ascii="Times New Roman" w:hAnsi="Times New Roman"/>
                <w:sz w:val="20"/>
              </w:rPr>
              <w:t>5.3.</w:t>
            </w:r>
          </w:p>
        </w:tc>
        <w:tc>
          <w:tcPr>
            <w:tcW w:type="dxa" w:w="7313"/>
          </w:tcPr>
          <w:p>
            <w:pPr>
              <w:spacing w:after="40" w:before="40"/>
              <w:jc w:val="left"/>
            </w:pPr>
            <w:r>
              <w:rPr>
                <w:rFonts w:ascii="Times New Roman" w:hAnsi="Times New Roman"/>
                <w:sz w:val="20"/>
              </w:rPr>
            </w:r>
            <w:r>
              <w:rPr>
                <w:rFonts w:ascii="Times New Roman" w:hAnsi="Times New Roman"/>
                <w:sz w:val="20"/>
              </w:rPr>
              <w:t>Встановлення політик або процедур, що враховують обставини прийняття або продовження відносин з клієнтом або конкретного завдання</w:t>
            </w:r>
          </w:p>
        </w:tc>
        <w:tc>
          <w:tcPr>
            <w:tcW w:type="dxa" w:w="1417"/>
          </w:tcPr>
          <w:p>
            <w:pPr>
              <w:spacing w:after="40" w:before="40"/>
              <w:jc w:val="center"/>
            </w:pPr>
            <w:r>
              <w:rPr>
                <w:rFonts w:ascii="Times New Roman" w:hAnsi="Times New Roman"/>
                <w:sz w:val="20"/>
              </w:rPr>
            </w:r>
            <w:r>
              <w:rPr>
                <w:rFonts w:ascii="Times New Roman" w:hAnsi="Times New Roman"/>
                <w:sz w:val="20"/>
              </w:rPr>
              <w:t>0,5</w:t>
            </w:r>
          </w:p>
        </w:tc>
      </w:tr>
      <w:tr>
        <w:tc>
          <w:tcPr>
            <w:tcW w:type="dxa" w:w="907"/>
          </w:tcPr>
          <w:p>
            <w:pPr>
              <w:spacing w:after="40" w:before="40"/>
              <w:jc w:val="left"/>
            </w:pPr>
            <w:r>
              <w:rPr>
                <w:rFonts w:ascii="Times New Roman" w:hAnsi="Times New Roman"/>
                <w:sz w:val="20"/>
              </w:rPr>
            </w:r>
            <w:r>
              <w:rPr>
                <w:rFonts w:ascii="Times New Roman" w:hAnsi="Times New Roman"/>
                <w:sz w:val="20"/>
              </w:rPr>
              <w:t>5.4.</w:t>
            </w:r>
          </w:p>
        </w:tc>
        <w:tc>
          <w:tcPr>
            <w:tcW w:type="dxa" w:w="7313"/>
          </w:tcPr>
          <w:p>
            <w:pPr>
              <w:spacing w:after="40" w:before="40"/>
              <w:jc w:val="left"/>
            </w:pPr>
            <w:r>
              <w:rPr>
                <w:rFonts w:ascii="Times New Roman" w:hAnsi="Times New Roman"/>
                <w:sz w:val="20"/>
              </w:rPr>
            </w:r>
            <w:r>
              <w:rPr>
                <w:rFonts w:ascii="Times New Roman" w:hAnsi="Times New Roman"/>
                <w:sz w:val="20"/>
              </w:rPr>
              <w:t>Встановлення політик або процедур, які вимагають повідомлення інформації тим, кого наділено найвищими повноваженнями</w:t>
            </w:r>
          </w:p>
        </w:tc>
        <w:tc>
          <w:tcPr>
            <w:tcW w:type="dxa" w:w="1417"/>
          </w:tcPr>
          <w:p>
            <w:pPr>
              <w:spacing w:after="40" w:before="40"/>
              <w:jc w:val="center"/>
            </w:pPr>
            <w:r>
              <w:rPr>
                <w:rFonts w:ascii="Times New Roman" w:hAnsi="Times New Roman"/>
                <w:sz w:val="20"/>
              </w:rPr>
            </w:r>
            <w:r>
              <w:rPr>
                <w:rFonts w:ascii="Times New Roman" w:hAnsi="Times New Roman"/>
                <w:sz w:val="20"/>
              </w:rPr>
              <w:t>0,5</w:t>
            </w:r>
          </w:p>
        </w:tc>
      </w:tr>
      <w:tr>
        <w:tc>
          <w:tcPr>
            <w:tcW w:type="dxa" w:w="907"/>
          </w:tcPr>
          <w:p>
            <w:pPr>
              <w:spacing w:after="40" w:before="40"/>
              <w:jc w:val="left"/>
            </w:pPr>
            <w:r>
              <w:rPr>
                <w:rFonts w:ascii="Times New Roman" w:hAnsi="Times New Roman"/>
                <w:sz w:val="20"/>
              </w:rPr>
            </w:r>
            <w:r>
              <w:rPr>
                <w:rFonts w:ascii="Times New Roman" w:hAnsi="Times New Roman"/>
                <w:sz w:val="20"/>
              </w:rPr>
              <w:t>5.5.</w:t>
            </w:r>
          </w:p>
        </w:tc>
        <w:tc>
          <w:tcPr>
            <w:tcW w:type="dxa" w:w="7313"/>
          </w:tcPr>
          <w:p>
            <w:pPr>
              <w:spacing w:after="40" w:before="40"/>
              <w:jc w:val="left"/>
            </w:pPr>
            <w:r>
              <w:rPr>
                <w:rFonts w:ascii="Times New Roman" w:hAnsi="Times New Roman"/>
                <w:sz w:val="20"/>
              </w:rPr>
            </w:r>
            <w:r>
              <w:rPr>
                <w:rFonts w:ascii="Times New Roman" w:hAnsi="Times New Roman"/>
                <w:sz w:val="20"/>
              </w:rPr>
              <w:t>Визначення випадків, коли є доречним повідомлення інформації зовнішнім сторонам про систему управління якістю фірми</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sz w:val="20"/>
              </w:rPr>
            </w:r>
            <w:r>
              <w:rPr>
                <w:rFonts w:ascii="Times New Roman" w:hAnsi="Times New Roman"/>
                <w:sz w:val="20"/>
              </w:rPr>
              <w:t>5.6.</w:t>
            </w:r>
          </w:p>
        </w:tc>
        <w:tc>
          <w:tcPr>
            <w:tcW w:type="dxa" w:w="7313"/>
          </w:tcPr>
          <w:p>
            <w:pPr>
              <w:spacing w:after="40" w:before="40"/>
              <w:jc w:val="left"/>
            </w:pPr>
            <w:r>
              <w:rPr>
                <w:rFonts w:ascii="Times New Roman" w:hAnsi="Times New Roman"/>
                <w:sz w:val="20"/>
              </w:rPr>
            </w:r>
            <w:r>
              <w:rPr>
                <w:rFonts w:ascii="Times New Roman" w:hAnsi="Times New Roman"/>
                <w:sz w:val="20"/>
              </w:rPr>
              <w:t>Встановлення політик або процедур, які стосуються перевірок якості завдань відповідно до МСУЯ 2</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b/>
                <w:sz w:val="20"/>
              </w:rPr>
            </w:r>
            <w:r>
              <w:rPr>
                <w:rFonts w:ascii="Times New Roman" w:hAnsi="Times New Roman"/>
                <w:b/>
                <w:sz w:val="20"/>
              </w:rPr>
              <w:t>6.</w:t>
            </w:r>
          </w:p>
        </w:tc>
        <w:tc>
          <w:tcPr>
            <w:tcW w:type="dxa" w:w="7313"/>
          </w:tcPr>
          <w:p>
            <w:pPr>
              <w:spacing w:after="40" w:before="40"/>
              <w:jc w:val="left"/>
            </w:pPr>
            <w:r>
              <w:rPr>
                <w:rFonts w:ascii="Times New Roman" w:hAnsi="Times New Roman"/>
                <w:b/>
                <w:sz w:val="20"/>
              </w:rPr>
            </w:r>
            <w:r>
              <w:rPr>
                <w:rFonts w:ascii="Times New Roman" w:hAnsi="Times New Roman"/>
                <w:b/>
                <w:sz w:val="20"/>
              </w:rPr>
              <w:t>Перевірки якості завдання згідно з МСУЯ 2</w:t>
            </w:r>
          </w:p>
        </w:tc>
        <w:tc>
          <w:tcPr>
            <w:tcW w:type="dxa" w:w="1417"/>
          </w:tcPr>
          <w:p>
            <w:pPr>
              <w:spacing w:after="40" w:before="40"/>
              <w:jc w:val="center"/>
            </w:pPr>
            <w:r>
              <w:rPr>
                <w:rFonts w:ascii="Times New Roman" w:hAnsi="Times New Roman"/>
                <w:b/>
                <w:sz w:val="20"/>
              </w:rPr>
            </w:r>
            <w:r>
              <w:rPr>
                <w:rFonts w:ascii="Times New Roman" w:hAnsi="Times New Roman"/>
                <w:b/>
                <w:sz w:val="20"/>
              </w:rPr>
              <w:t>6</w:t>
            </w:r>
          </w:p>
        </w:tc>
      </w:tr>
      <w:tr>
        <w:tc>
          <w:tcPr>
            <w:tcW w:type="dxa" w:w="907"/>
          </w:tcPr>
          <w:p>
            <w:pPr>
              <w:spacing w:after="40" w:before="40"/>
              <w:jc w:val="left"/>
            </w:pPr>
            <w:r>
              <w:rPr>
                <w:rFonts w:ascii="Times New Roman" w:hAnsi="Times New Roman"/>
                <w:sz w:val="20"/>
              </w:rPr>
            </w:r>
            <w:r>
              <w:rPr>
                <w:rFonts w:ascii="Times New Roman" w:hAnsi="Times New Roman"/>
                <w:sz w:val="20"/>
              </w:rPr>
              <w:t>6.1.</w:t>
            </w:r>
          </w:p>
        </w:tc>
        <w:tc>
          <w:tcPr>
            <w:tcW w:type="dxa" w:w="7313"/>
          </w:tcPr>
          <w:p>
            <w:pPr>
              <w:spacing w:after="40" w:before="40"/>
              <w:jc w:val="left"/>
            </w:pPr>
            <w:r>
              <w:rPr>
                <w:rFonts w:ascii="Times New Roman" w:hAnsi="Times New Roman"/>
                <w:sz w:val="20"/>
              </w:rPr>
            </w:r>
            <w:r>
              <w:rPr>
                <w:rFonts w:ascii="Times New Roman" w:hAnsi="Times New Roman"/>
                <w:sz w:val="20"/>
              </w:rPr>
              <w:t>Система управління якістю фірми і роль перевірок якості завдання. Застосування та дотримання відповідних вимог МСУЯ 2</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sz w:val="20"/>
              </w:rPr>
            </w:r>
            <w:r>
              <w:rPr>
                <w:rFonts w:ascii="Times New Roman" w:hAnsi="Times New Roman"/>
                <w:sz w:val="20"/>
              </w:rPr>
              <w:t>6.2.</w:t>
            </w:r>
          </w:p>
        </w:tc>
        <w:tc>
          <w:tcPr>
            <w:tcW w:type="dxa" w:w="7313"/>
          </w:tcPr>
          <w:p>
            <w:pPr>
              <w:spacing w:after="40" w:before="40"/>
              <w:jc w:val="left"/>
            </w:pPr>
            <w:r>
              <w:rPr>
                <w:rFonts w:ascii="Times New Roman" w:hAnsi="Times New Roman"/>
                <w:sz w:val="20"/>
              </w:rPr>
            </w:r>
            <w:r>
              <w:rPr>
                <w:rFonts w:ascii="Times New Roman" w:hAnsi="Times New Roman"/>
                <w:sz w:val="20"/>
              </w:rPr>
              <w:t>Призначення та відповідність встановленим вимогам відповідального за перевірку якості завдання</w:t>
            </w:r>
          </w:p>
        </w:tc>
        <w:tc>
          <w:tcPr>
            <w:tcW w:type="dxa" w:w="1417"/>
          </w:tcPr>
          <w:p>
            <w:pPr>
              <w:spacing w:after="40" w:before="40"/>
              <w:jc w:val="center"/>
            </w:pPr>
            <w:r>
              <w:rPr>
                <w:rFonts w:ascii="Times New Roman" w:hAnsi="Times New Roman"/>
                <w:sz w:val="20"/>
              </w:rPr>
            </w:r>
            <w:r>
              <w:rPr>
                <w:rFonts w:ascii="Times New Roman" w:hAnsi="Times New Roman"/>
                <w:sz w:val="20"/>
              </w:rPr>
              <w:t>2</w:t>
            </w:r>
          </w:p>
        </w:tc>
      </w:tr>
      <w:tr>
        <w:tc>
          <w:tcPr>
            <w:tcW w:type="dxa" w:w="907"/>
          </w:tcPr>
          <w:p>
            <w:pPr>
              <w:spacing w:after="40" w:before="40"/>
              <w:jc w:val="left"/>
            </w:pPr>
            <w:r>
              <w:rPr>
                <w:rFonts w:ascii="Times New Roman" w:hAnsi="Times New Roman"/>
                <w:sz w:val="20"/>
              </w:rPr>
            </w:r>
            <w:r>
              <w:rPr>
                <w:rFonts w:ascii="Times New Roman" w:hAnsi="Times New Roman"/>
                <w:sz w:val="20"/>
              </w:rPr>
              <w:t>6.3.</w:t>
            </w:r>
          </w:p>
        </w:tc>
        <w:tc>
          <w:tcPr>
            <w:tcW w:type="dxa" w:w="7313"/>
          </w:tcPr>
          <w:p>
            <w:pPr>
              <w:spacing w:after="40" w:before="40"/>
              <w:jc w:val="left"/>
            </w:pPr>
            <w:r>
              <w:rPr>
                <w:rFonts w:ascii="Times New Roman" w:hAnsi="Times New Roman"/>
                <w:sz w:val="20"/>
              </w:rPr>
            </w:r>
            <w:r>
              <w:rPr>
                <w:rFonts w:ascii="Times New Roman" w:hAnsi="Times New Roman"/>
                <w:sz w:val="20"/>
              </w:rPr>
              <w:t>Виконання перевірки якості завдання</w:t>
            </w:r>
          </w:p>
        </w:tc>
        <w:tc>
          <w:tcPr>
            <w:tcW w:type="dxa" w:w="1417"/>
          </w:tcPr>
          <w:p>
            <w:pPr>
              <w:spacing w:after="40" w:before="40"/>
              <w:jc w:val="center"/>
            </w:pPr>
            <w:r>
              <w:rPr>
                <w:rFonts w:ascii="Times New Roman" w:hAnsi="Times New Roman"/>
                <w:sz w:val="20"/>
              </w:rPr>
            </w:r>
            <w:r>
              <w:rPr>
                <w:rFonts w:ascii="Times New Roman" w:hAnsi="Times New Roman"/>
                <w:sz w:val="20"/>
              </w:rPr>
              <w:t>2</w:t>
            </w:r>
          </w:p>
        </w:tc>
      </w:tr>
      <w:tr>
        <w:tc>
          <w:tcPr>
            <w:tcW w:type="dxa" w:w="907"/>
          </w:tcPr>
          <w:p>
            <w:pPr>
              <w:spacing w:after="40" w:before="40"/>
              <w:jc w:val="left"/>
            </w:pPr>
            <w:r>
              <w:rPr>
                <w:rFonts w:ascii="Times New Roman" w:hAnsi="Times New Roman"/>
                <w:sz w:val="20"/>
              </w:rPr>
            </w:r>
            <w:r>
              <w:rPr>
                <w:rFonts w:ascii="Times New Roman" w:hAnsi="Times New Roman"/>
                <w:sz w:val="20"/>
              </w:rPr>
              <w:t>6.4.</w:t>
            </w:r>
          </w:p>
        </w:tc>
        <w:tc>
          <w:tcPr>
            <w:tcW w:type="dxa" w:w="7313"/>
          </w:tcPr>
          <w:p>
            <w:pPr>
              <w:spacing w:after="40" w:before="40"/>
              <w:jc w:val="left"/>
            </w:pPr>
            <w:r>
              <w:rPr>
                <w:rFonts w:ascii="Times New Roman" w:hAnsi="Times New Roman"/>
                <w:sz w:val="20"/>
              </w:rPr>
            </w:r>
            <w:r>
              <w:rPr>
                <w:rFonts w:ascii="Times New Roman" w:hAnsi="Times New Roman"/>
                <w:sz w:val="20"/>
              </w:rPr>
              <w:t>Документація з перевірки якості завдання</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b/>
                <w:sz w:val="20"/>
              </w:rPr>
            </w:r>
            <w:r>
              <w:rPr>
                <w:rFonts w:ascii="Times New Roman" w:hAnsi="Times New Roman"/>
                <w:b/>
                <w:sz w:val="20"/>
              </w:rPr>
              <w:t>7.</w:t>
            </w:r>
          </w:p>
        </w:tc>
        <w:tc>
          <w:tcPr>
            <w:tcW w:type="dxa" w:w="7313"/>
          </w:tcPr>
          <w:p>
            <w:pPr>
              <w:spacing w:after="40" w:before="40"/>
              <w:jc w:val="left"/>
            </w:pPr>
            <w:r>
              <w:rPr>
                <w:rFonts w:ascii="Times New Roman" w:hAnsi="Times New Roman"/>
                <w:b/>
                <w:sz w:val="20"/>
              </w:rPr>
            </w:r>
            <w:r>
              <w:rPr>
                <w:rFonts w:ascii="Times New Roman" w:hAnsi="Times New Roman"/>
                <w:b/>
                <w:sz w:val="20"/>
              </w:rPr>
              <w:t>Процес моніторингу та виправлення. Оцінка системи управління якістю. Документація</w:t>
            </w:r>
          </w:p>
        </w:tc>
        <w:tc>
          <w:tcPr>
            <w:tcW w:type="dxa" w:w="1417"/>
          </w:tcPr>
          <w:p>
            <w:pPr>
              <w:spacing w:after="40" w:before="40"/>
              <w:jc w:val="center"/>
            </w:pPr>
            <w:r>
              <w:rPr>
                <w:rFonts w:ascii="Times New Roman" w:hAnsi="Times New Roman"/>
                <w:b/>
                <w:sz w:val="20"/>
              </w:rPr>
            </w:r>
            <w:r>
              <w:rPr>
                <w:rFonts w:ascii="Times New Roman" w:hAnsi="Times New Roman"/>
                <w:b/>
                <w:sz w:val="20"/>
              </w:rPr>
              <w:t>6</w:t>
            </w:r>
          </w:p>
        </w:tc>
      </w:tr>
      <w:tr>
        <w:tc>
          <w:tcPr>
            <w:tcW w:type="dxa" w:w="907"/>
          </w:tcPr>
          <w:p>
            <w:pPr>
              <w:spacing w:after="40" w:before="40"/>
              <w:jc w:val="left"/>
            </w:pPr>
            <w:r>
              <w:rPr>
                <w:rFonts w:ascii="Times New Roman" w:hAnsi="Times New Roman"/>
                <w:sz w:val="20"/>
              </w:rPr>
            </w:r>
            <w:r>
              <w:rPr>
                <w:rFonts w:ascii="Times New Roman" w:hAnsi="Times New Roman"/>
                <w:sz w:val="20"/>
              </w:rPr>
              <w:t>7.1.</w:t>
            </w:r>
          </w:p>
        </w:tc>
        <w:tc>
          <w:tcPr>
            <w:tcW w:type="dxa" w:w="7313"/>
          </w:tcPr>
          <w:p>
            <w:pPr>
              <w:spacing w:after="40" w:before="40"/>
              <w:jc w:val="left"/>
            </w:pPr>
            <w:r>
              <w:rPr>
                <w:rFonts w:ascii="Times New Roman" w:hAnsi="Times New Roman"/>
                <w:sz w:val="20"/>
              </w:rPr>
            </w:r>
            <w:r>
              <w:rPr>
                <w:rFonts w:ascii="Times New Roman" w:hAnsi="Times New Roman"/>
                <w:sz w:val="20"/>
              </w:rPr>
              <w:t>Розробка та проведення заходів з моніторингу. Інспектування завдань. Особи, які здійснюють заходи з моніторингу</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sz w:val="20"/>
              </w:rPr>
            </w:r>
            <w:r>
              <w:rPr>
                <w:rFonts w:ascii="Times New Roman" w:hAnsi="Times New Roman"/>
                <w:sz w:val="20"/>
              </w:rPr>
              <w:t>7.2.</w:t>
            </w:r>
          </w:p>
        </w:tc>
        <w:tc>
          <w:tcPr>
            <w:tcW w:type="dxa" w:w="7313"/>
          </w:tcPr>
          <w:p>
            <w:pPr>
              <w:spacing w:after="40" w:before="40"/>
              <w:jc w:val="left"/>
            </w:pPr>
            <w:r>
              <w:rPr>
                <w:rFonts w:ascii="Times New Roman" w:hAnsi="Times New Roman"/>
                <w:sz w:val="20"/>
              </w:rPr>
            </w:r>
            <w:r>
              <w:rPr>
                <w:rFonts w:ascii="Times New Roman" w:hAnsi="Times New Roman"/>
                <w:sz w:val="20"/>
              </w:rPr>
              <w:t>Оцінка ідентифікованих недоліків та реагування на ці недоліки</w:t>
            </w:r>
          </w:p>
        </w:tc>
        <w:tc>
          <w:tcPr>
            <w:tcW w:type="dxa" w:w="1417"/>
          </w:tcPr>
          <w:p>
            <w:pPr>
              <w:spacing w:after="40" w:before="40"/>
              <w:jc w:val="center"/>
            </w:pPr>
            <w:r>
              <w:rPr>
                <w:rFonts w:ascii="Times New Roman" w:hAnsi="Times New Roman"/>
                <w:sz w:val="20"/>
              </w:rPr>
            </w:r>
            <w:r>
              <w:rPr>
                <w:rFonts w:ascii="Times New Roman" w:hAnsi="Times New Roman"/>
                <w:sz w:val="20"/>
              </w:rPr>
              <w:t>2</w:t>
            </w:r>
          </w:p>
        </w:tc>
      </w:tr>
      <w:tr>
        <w:tc>
          <w:tcPr>
            <w:tcW w:type="dxa" w:w="907"/>
          </w:tcPr>
          <w:p>
            <w:pPr>
              <w:spacing w:after="40" w:before="40"/>
              <w:jc w:val="left"/>
            </w:pPr>
            <w:r>
              <w:rPr>
                <w:rFonts w:ascii="Times New Roman" w:hAnsi="Times New Roman"/>
                <w:sz w:val="20"/>
              </w:rPr>
            </w:r>
            <w:r>
              <w:rPr>
                <w:rFonts w:ascii="Times New Roman" w:hAnsi="Times New Roman"/>
                <w:sz w:val="20"/>
              </w:rPr>
              <w:t>7.3.</w:t>
            </w:r>
          </w:p>
        </w:tc>
        <w:tc>
          <w:tcPr>
            <w:tcW w:type="dxa" w:w="7313"/>
          </w:tcPr>
          <w:p>
            <w:pPr>
              <w:spacing w:after="40" w:before="40"/>
              <w:jc w:val="left"/>
            </w:pPr>
            <w:r>
              <w:rPr>
                <w:rFonts w:ascii="Times New Roman" w:hAnsi="Times New Roman"/>
                <w:sz w:val="20"/>
              </w:rPr>
            </w:r>
            <w:r>
              <w:rPr>
                <w:rFonts w:ascii="Times New Roman" w:hAnsi="Times New Roman"/>
                <w:sz w:val="20"/>
              </w:rPr>
              <w:t>Вимоги мережі або мережеві послуги</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sz w:val="20"/>
              </w:rPr>
            </w:r>
            <w:r>
              <w:rPr>
                <w:rFonts w:ascii="Times New Roman" w:hAnsi="Times New Roman"/>
                <w:sz w:val="20"/>
              </w:rPr>
              <w:t>7.4.</w:t>
            </w:r>
          </w:p>
        </w:tc>
        <w:tc>
          <w:tcPr>
            <w:tcW w:type="dxa" w:w="7313"/>
          </w:tcPr>
          <w:p>
            <w:pPr>
              <w:spacing w:after="40" w:before="40"/>
              <w:jc w:val="left"/>
            </w:pPr>
            <w:r>
              <w:rPr>
                <w:rFonts w:ascii="Times New Roman" w:hAnsi="Times New Roman"/>
                <w:sz w:val="20"/>
              </w:rPr>
            </w:r>
            <w:r>
              <w:rPr>
                <w:rFonts w:ascii="Times New Roman" w:hAnsi="Times New Roman"/>
                <w:sz w:val="20"/>
              </w:rPr>
              <w:t>Оцінка системи управління якістю</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left"/>
            </w:pPr>
            <w:r>
              <w:rPr>
                <w:rFonts w:ascii="Times New Roman" w:hAnsi="Times New Roman"/>
                <w:sz w:val="20"/>
              </w:rPr>
            </w:r>
            <w:r>
              <w:rPr>
                <w:rFonts w:ascii="Times New Roman" w:hAnsi="Times New Roman"/>
                <w:sz w:val="20"/>
              </w:rPr>
              <w:t>7.5.</w:t>
            </w:r>
          </w:p>
        </w:tc>
        <w:tc>
          <w:tcPr>
            <w:tcW w:type="dxa" w:w="7313"/>
          </w:tcPr>
          <w:p>
            <w:pPr>
              <w:spacing w:after="40" w:before="40"/>
              <w:jc w:val="left"/>
            </w:pPr>
            <w:r>
              <w:rPr>
                <w:rFonts w:ascii="Times New Roman" w:hAnsi="Times New Roman"/>
                <w:sz w:val="20"/>
              </w:rPr>
            </w:r>
            <w:r>
              <w:rPr>
                <w:rFonts w:ascii="Times New Roman" w:hAnsi="Times New Roman"/>
                <w:sz w:val="20"/>
              </w:rPr>
              <w:t>Документація</w:t>
            </w:r>
          </w:p>
        </w:tc>
        <w:tc>
          <w:tcPr>
            <w:tcW w:type="dxa" w:w="1417"/>
          </w:tcPr>
          <w:p>
            <w:pPr>
              <w:spacing w:after="40" w:before="40"/>
              <w:jc w:val="center"/>
            </w:pPr>
            <w:r>
              <w:rPr>
                <w:rFonts w:ascii="Times New Roman" w:hAnsi="Times New Roman"/>
                <w:sz w:val="20"/>
              </w:rPr>
            </w:r>
            <w:r>
              <w:rPr>
                <w:rFonts w:ascii="Times New Roman" w:hAnsi="Times New Roman"/>
                <w:sz w:val="20"/>
              </w:rPr>
              <w:t>1</w:t>
            </w:r>
          </w:p>
        </w:tc>
      </w:tr>
      <w:tr>
        <w:tc>
          <w:tcPr>
            <w:tcW w:type="dxa" w:w="907"/>
          </w:tcPr>
          <w:p>
            <w:pPr>
              <w:spacing w:after="40" w:before="40"/>
              <w:jc w:val="center"/>
            </w:pPr>
            <w:r>
              <w:rPr>
                <w:rFonts w:ascii="Times New Roman" w:hAnsi="Times New Roman"/>
                <w:b/>
                <w:sz w:val="20"/>
              </w:rPr>
            </w:r>
            <w:r>
              <w:rPr>
                <w:rFonts w:ascii="Times New Roman" w:hAnsi="Times New Roman"/>
                <w:b/>
                <w:sz w:val="20"/>
              </w:rPr>
            </w:r>
          </w:p>
        </w:tc>
        <w:tc>
          <w:tcPr>
            <w:tcW w:type="dxa" w:w="7313"/>
          </w:tcPr>
          <w:p>
            <w:pPr>
              <w:spacing w:after="40" w:before="40"/>
              <w:jc w:val="left"/>
            </w:pPr>
            <w:r>
              <w:rPr>
                <w:rFonts w:ascii="Times New Roman" w:hAnsi="Times New Roman"/>
                <w:b/>
                <w:sz w:val="20"/>
              </w:rPr>
            </w:r>
            <w:r>
              <w:rPr>
                <w:rFonts w:ascii="Times New Roman" w:hAnsi="Times New Roman"/>
                <w:b/>
                <w:sz w:val="20"/>
              </w:rPr>
              <w:t>ВСЬОГО</w:t>
            </w:r>
          </w:p>
        </w:tc>
        <w:tc>
          <w:tcPr>
            <w:tcW w:type="dxa" w:w="1417"/>
          </w:tcPr>
          <w:p>
            <w:pPr>
              <w:spacing w:after="40" w:before="40"/>
              <w:jc w:val="center"/>
            </w:pPr>
            <w:r>
              <w:rPr>
                <w:rFonts w:ascii="Times New Roman" w:hAnsi="Times New Roman"/>
                <w:b/>
                <w:sz w:val="20"/>
              </w:rPr>
            </w:r>
            <w:r>
              <w:rPr>
                <w:rFonts w:ascii="Times New Roman" w:hAnsi="Times New Roman"/>
                <w:b/>
                <w:sz w:val="20"/>
              </w:rPr>
              <w:t>40</w:t>
            </w:r>
          </w:p>
        </w:tc>
      </w:tr>
    </w:tbl>
    <w:p>
      <w:pPr>
        <w:spacing w:after="120" w:before="120"/>
        <w:ind w:firstLine="709"/>
        <w:jc w:val="both"/>
      </w:pPr>
      <w:r>
        <w:rPr>
          <w:rFonts w:ascii="Times New Roman" w:hAnsi="Times New Roman"/>
          <w:b w:val="0"/>
          <w:i w:val="0"/>
          <w:sz w:val="22"/>
        </w:rPr>
        <w:t>* 1 академічна година = 45 хвилин.</w:t>
      </w:r>
    </w:p>
    <w:p>
      <w:pPr>
        <w:spacing w:after="160" w:before="240"/>
        <w:jc w:val="left"/>
      </w:pPr>
      <w:r>
        <w:rPr>
          <w:rFonts w:ascii="Times New Roman" w:hAnsi="Times New Roman"/>
          <w:b/>
          <w:i w:val="0"/>
        </w:rPr>
        <w:t>4. ФОРМИ ТА МІСЦЕ ПРОВЕДЕННЯ БЕЗПЕРЕРВНОГО ПРОФЕСІЙНОГО НАВЧАННЯ</w:t>
      </w:r>
    </w:p>
    <w:p>
      <w:pPr>
        <w:spacing w:after="120" w:before="0"/>
        <w:ind w:firstLine="709"/>
        <w:jc w:val="both"/>
      </w:pPr>
      <w:r>
        <w:rPr>
          <w:rFonts w:ascii="Times New Roman" w:hAnsi="Times New Roman"/>
          <w:b w:val="0"/>
          <w:i w:val="0"/>
        </w:rPr>
        <w:t>Безперервне професійне навчання аудиторів може здійснюватися в різних форматах: очному (в аудиторіях), дистанційному (онлайн) та гібридному (змішаному).</w:t>
      </w:r>
    </w:p>
    <w:p>
      <w:pPr>
        <w:spacing w:after="120" w:before="0"/>
        <w:ind w:firstLine="709"/>
        <w:jc w:val="both"/>
      </w:pPr>
      <w:r>
        <w:rPr>
          <w:rFonts w:ascii="Times New Roman" w:hAnsi="Times New Roman"/>
          <w:b w:val="0"/>
          <w:i w:val="0"/>
        </w:rPr>
        <w:t>Очне навчання передбачає фізичну присутність учасників у навчальному центрі або приміщенні клієнта (корпоративний формат). Забезпечує безпосередню взаємодію, живі дискусії та сесії запитань і відповідей.</w:t>
      </w:r>
    </w:p>
    <w:p>
      <w:pPr>
        <w:spacing w:after="120" w:before="0"/>
        <w:ind w:firstLine="709"/>
        <w:jc w:val="both"/>
      </w:pPr>
      <w:r>
        <w:rPr>
          <w:rFonts w:ascii="Times New Roman" w:hAnsi="Times New Roman"/>
          <w:b w:val="0"/>
          <w:i w:val="0"/>
        </w:rPr>
        <w:t>Дистанційне (онлайн) навчання проводиться у двох режимах:</w:t>
      </w:r>
    </w:p>
    <w:p>
      <w:pPr>
        <w:spacing w:after="60"/>
        <w:ind w:left="425" w:hanging="198"/>
        <w:jc w:val="both"/>
      </w:pPr>
      <w:r>
        <w:rPr>
          <w:rFonts w:ascii="Times New Roman" w:hAnsi="Times New Roman"/>
        </w:rPr>
        <w:t>•  Синхронне навчання: вебінари в реальному часі (Microsoft Teams, Zoom, MyOwnConference, Etutorium, BIZON 365 тощо), учасники взаємодіють з лектором та задають питання онлайн.</w:t>
      </w:r>
    </w:p>
    <w:p>
      <w:pPr>
        <w:spacing w:after="60"/>
        <w:ind w:left="425" w:hanging="198"/>
        <w:jc w:val="both"/>
      </w:pPr>
      <w:r>
        <w:rPr>
          <w:rFonts w:ascii="Times New Roman" w:hAnsi="Times New Roman"/>
        </w:rPr>
        <w:t>•  Асинхронне навчання передбачає доступ до записів та матеріалів, учасники навчаються у власному темпі на платформі Moodle або аналогічних.</w:t>
      </w:r>
    </w:p>
    <w:p>
      <w:pPr>
        <w:spacing w:after="120" w:before="120"/>
        <w:ind w:firstLine="709"/>
        <w:jc w:val="both"/>
      </w:pPr>
      <w:r>
        <w:rPr>
          <w:rFonts w:ascii="Times New Roman" w:hAnsi="Times New Roman"/>
          <w:b w:val="0"/>
          <w:i w:val="0"/>
        </w:rPr>
        <w:t>Гібридне навчання поєднує очні та онлайн-компоненти, забезпечуючи гнучкість без втрати якості.</w:t>
      </w:r>
    </w:p>
    <w:p>
      <w:pPr>
        <w:spacing w:after="120" w:before="0"/>
        <w:ind w:firstLine="709"/>
        <w:jc w:val="both"/>
      </w:pPr>
      <w:r>
        <w:rPr>
          <w:rFonts w:ascii="Times New Roman" w:hAnsi="Times New Roman"/>
          <w:b w:val="0"/>
          <w:i w:val="0"/>
        </w:rPr>
        <w:t>Очне навчання за цією програмою проводиться в аудиторному форматі за адресою: м. Київ, вул. Малопідвальна, 10, офіс 4, або на території замовника у разі проведення заходу в корпоративному форматі. Загальний обсяг заходу становить 40 годин незалежно від обраної форми проведення.</w:t>
      </w:r>
    </w:p>
    <w:p>
      <w:pPr>
        <w:spacing w:after="160" w:before="240"/>
        <w:jc w:val="left"/>
      </w:pPr>
      <w:r>
        <w:rPr>
          <w:rFonts w:ascii="Times New Roman" w:hAnsi="Times New Roman"/>
          <w:b/>
          <w:i w:val="0"/>
        </w:rPr>
        <w:t>РЕКОМЕНДОВАНА ЛІТЕРАТУРА ТА МЕТОДИЧНЕ ЗАБЕЗПЕЧЕННЯ</w:t>
      </w:r>
    </w:p>
    <w:p>
      <w:pPr>
        <w:spacing w:after="80"/>
        <w:ind w:left="567" w:hanging="340"/>
        <w:jc w:val="both"/>
      </w:pPr>
      <w:r>
        <w:rPr>
          <w:rFonts w:ascii="Times New Roman" w:hAnsi="Times New Roman"/>
          <w:sz w:val="22"/>
        </w:rPr>
        <w:t>1. Міжнародний стандарт управління якістю 1 «Управління якістю для фірм, що виконують аудити чи огляди фінансової звітності або інші завдання з надання впевненості чи супутні послуги» [Електронний ресурс] / Міністерство фінансів України. Режим доступу: https://mof.gov.ua/uk/mizhnarodni-standarti-auditu (дата звернення: 05.09.2026). Назва з екрана.</w:t>
      </w:r>
    </w:p>
    <w:p>
      <w:pPr>
        <w:spacing w:after="80"/>
        <w:ind w:left="567" w:hanging="340"/>
        <w:jc w:val="both"/>
      </w:pPr>
      <w:r>
        <w:rPr>
          <w:rFonts w:ascii="Times New Roman" w:hAnsi="Times New Roman"/>
          <w:sz w:val="22"/>
        </w:rPr>
        <w:t>2. Міжнародний стандарт управління якістю 2 «Перевірки якості завдання» [Електронний ресурс] / Міністерство фінансів України. Режим доступу: https://mof.gov.ua/uk/mizhnarodni-standarti-auditu (дата звернення: 05.09.2026). Назва з екрана.</w:t>
      </w:r>
    </w:p>
    <w:p>
      <w:pPr>
        <w:spacing w:after="80"/>
        <w:ind w:left="567" w:hanging="340"/>
        <w:jc w:val="both"/>
      </w:pPr>
      <w:r>
        <w:rPr>
          <w:rFonts w:ascii="Times New Roman" w:hAnsi="Times New Roman"/>
          <w:sz w:val="22"/>
        </w:rPr>
        <w:t>3. Міжнародний стандарт аудиту 220 (переглянутий) «Управління якістю при аудиті фінансової звітності» [Електронний ресурс] / Міністерство фінансів України. Режим доступу: https://mof.gov.ua/uk/mizhnarodni-standarti-auditu (дата звернення: 05.09.2026). Назва з екрана.</w:t>
      </w:r>
    </w:p>
    <w:p>
      <w:pPr>
        <w:spacing w:after="80"/>
        <w:ind w:left="567" w:hanging="340"/>
        <w:jc w:val="both"/>
      </w:pPr>
      <w:r>
        <w:rPr>
          <w:rFonts w:ascii="Times New Roman" w:hAnsi="Times New Roman"/>
          <w:sz w:val="22"/>
        </w:rPr>
        <w:t>4. Міжнародний кодекс етики професійних бухгалтерів (включаючи Міжнародні стандарти незалежності) [Електронний ресурс] / Міністерство фінансів України. Режим доступу: https://mof.gov.ua/uk/mizhnarodni-standarti-auditu (дата звернення: 05.09.2026). Назва з екрана.</w:t>
      </w:r>
    </w:p>
    <w:p>
      <w:pPr>
        <w:spacing w:after="80"/>
        <w:ind w:left="567" w:hanging="340"/>
        <w:jc w:val="both"/>
      </w:pPr>
      <w:r>
        <w:rPr>
          <w:rFonts w:ascii="Times New Roman" w:hAnsi="Times New Roman"/>
          <w:sz w:val="22"/>
        </w:rPr>
        <w:t>5. Закон України «Про аудит фінансової звітності та аудиторську діяльність» від 21.12.2017 № 2258-VIII [Електронний ресурс] / Верховна Рада України. Режим доступу: https://zakon.rada.gov.ua/laws/show/2258-19 (дата звернення: 05.09.2026). Назва з екрана.</w:t>
      </w:r>
    </w:p>
    <w:p>
      <w:pPr>
        <w:spacing w:after="80"/>
        <w:ind w:left="567" w:hanging="340"/>
        <w:jc w:val="both"/>
      </w:pPr>
      <w:r>
        <w:rPr>
          <w:rFonts w:ascii="Times New Roman" w:hAnsi="Times New Roman"/>
          <w:sz w:val="22"/>
        </w:rPr>
        <w:t>6. Кузуб О. А. Роздатковий матеріал до програми «Розробка та впровадження системи управління якістю фірми для проведення аудитів» // ПВНЗ «МАСБА», 2026.</w:t>
      </w:r>
    </w:p>
    <w:sectPr w:rsidR="00FC693F" w:rsidRPr="0006063C" w:rsidSect="00034616">
      <w:pgSz w:w="11906" w:h="16838"/>
      <w:pgMar w:top="1134" w:right="850"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